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877"/>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878"/>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357F528D" w:rsidR="00816DC0" w:rsidRDefault="007227B4">
      <w:pPr>
        <w:rPr>
          <w:lang w:val="en-NZ"/>
        </w:rPr>
      </w:pPr>
      <w:r w:rsidRPr="00962011">
        <w:rPr>
          <w:lang w:val="en-NZ"/>
        </w:rPr>
        <w:t xml:space="preserve">CCS Disability Action </w:t>
      </w:r>
      <w:r w:rsidR="00B015BF" w:rsidRPr="00B015BF">
        <w:rPr>
          <w:lang w:val="en-NZ"/>
        </w:rPr>
        <w:t>Waikato</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29C2986C" w14:textId="77777777" w:rsidR="00222703" w:rsidRDefault="00070095" w:rsidP="00222703">
      <w:pPr>
        <w:pStyle w:val="Heading1"/>
        <w:rPr>
          <w:noProof/>
        </w:rPr>
      </w:pPr>
      <w:bookmarkStart w:id="4" w:name="_Toc157079879"/>
      <w:r>
        <w:rPr>
          <w:lang w:val="en-NZ"/>
        </w:rPr>
        <w:lastRenderedPageBreak/>
        <w:t>Contents</w:t>
      </w:r>
      <w:bookmarkEnd w:id="4"/>
      <w:r w:rsidR="00222703">
        <w:rPr>
          <w:lang w:val="en-NZ"/>
        </w:rPr>
        <w:fldChar w:fldCharType="begin"/>
      </w:r>
      <w:r w:rsidR="00222703">
        <w:rPr>
          <w:lang w:val="en-NZ"/>
        </w:rPr>
        <w:instrText xml:space="preserve"> TOC \o "1-1" \h \z \u </w:instrText>
      </w:r>
      <w:r w:rsidR="00222703">
        <w:rPr>
          <w:lang w:val="en-NZ"/>
        </w:rPr>
        <w:fldChar w:fldCharType="separate"/>
      </w:r>
    </w:p>
    <w:p w14:paraId="20EDE25E" w14:textId="6E1DA531"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1" w:history="1">
        <w:r w:rsidRPr="00B954FA">
          <w:rPr>
            <w:rStyle w:val="Hyperlink"/>
            <w:noProof/>
            <w:lang w:val="en-NZ"/>
          </w:rPr>
          <w:t>About us</w:t>
        </w:r>
        <w:r>
          <w:rPr>
            <w:noProof/>
            <w:webHidden/>
          </w:rPr>
          <w:tab/>
        </w:r>
        <w:r>
          <w:rPr>
            <w:noProof/>
            <w:webHidden/>
          </w:rPr>
          <w:fldChar w:fldCharType="begin"/>
        </w:r>
        <w:r>
          <w:rPr>
            <w:noProof/>
            <w:webHidden/>
          </w:rPr>
          <w:instrText xml:space="preserve"> PAGEREF _Toc157079881 \h </w:instrText>
        </w:r>
        <w:r>
          <w:rPr>
            <w:noProof/>
            <w:webHidden/>
          </w:rPr>
        </w:r>
        <w:r>
          <w:rPr>
            <w:noProof/>
            <w:webHidden/>
          </w:rPr>
          <w:fldChar w:fldCharType="separate"/>
        </w:r>
        <w:r>
          <w:rPr>
            <w:noProof/>
            <w:webHidden/>
          </w:rPr>
          <w:t>3</w:t>
        </w:r>
        <w:r>
          <w:rPr>
            <w:noProof/>
            <w:webHidden/>
          </w:rPr>
          <w:fldChar w:fldCharType="end"/>
        </w:r>
      </w:hyperlink>
    </w:p>
    <w:p w14:paraId="0B66A879" w14:textId="29E591E6"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3" w:history="1">
        <w:r w:rsidRPr="00B954FA">
          <w:rPr>
            <w:rStyle w:val="Hyperlink"/>
            <w:noProof/>
            <w:lang w:val="en-NZ"/>
          </w:rPr>
          <w:t>Branch report</w:t>
        </w:r>
        <w:r>
          <w:rPr>
            <w:noProof/>
            <w:webHidden/>
          </w:rPr>
          <w:tab/>
        </w:r>
        <w:r>
          <w:rPr>
            <w:noProof/>
            <w:webHidden/>
          </w:rPr>
          <w:fldChar w:fldCharType="begin"/>
        </w:r>
        <w:r>
          <w:rPr>
            <w:noProof/>
            <w:webHidden/>
          </w:rPr>
          <w:instrText xml:space="preserve"> PAGEREF _Toc157079883 \h </w:instrText>
        </w:r>
        <w:r>
          <w:rPr>
            <w:noProof/>
            <w:webHidden/>
          </w:rPr>
        </w:r>
        <w:r>
          <w:rPr>
            <w:noProof/>
            <w:webHidden/>
          </w:rPr>
          <w:fldChar w:fldCharType="separate"/>
        </w:r>
        <w:r>
          <w:rPr>
            <w:noProof/>
            <w:webHidden/>
          </w:rPr>
          <w:t>9</w:t>
        </w:r>
        <w:r>
          <w:rPr>
            <w:noProof/>
            <w:webHidden/>
          </w:rPr>
          <w:fldChar w:fldCharType="end"/>
        </w:r>
      </w:hyperlink>
    </w:p>
    <w:p w14:paraId="7C59F22F" w14:textId="59543F52"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4" w:history="1">
        <w:r w:rsidRPr="00B954FA">
          <w:rPr>
            <w:rStyle w:val="Hyperlink"/>
            <w:noProof/>
            <w:lang w:val="en-NZ"/>
          </w:rPr>
          <w:t>Local Executive Committee report</w:t>
        </w:r>
        <w:r>
          <w:rPr>
            <w:noProof/>
            <w:webHidden/>
          </w:rPr>
          <w:tab/>
        </w:r>
        <w:r>
          <w:rPr>
            <w:noProof/>
            <w:webHidden/>
          </w:rPr>
          <w:fldChar w:fldCharType="begin"/>
        </w:r>
        <w:r>
          <w:rPr>
            <w:noProof/>
            <w:webHidden/>
          </w:rPr>
          <w:instrText xml:space="preserve"> PAGEREF _Toc157079884 \h </w:instrText>
        </w:r>
        <w:r>
          <w:rPr>
            <w:noProof/>
            <w:webHidden/>
          </w:rPr>
        </w:r>
        <w:r>
          <w:rPr>
            <w:noProof/>
            <w:webHidden/>
          </w:rPr>
          <w:fldChar w:fldCharType="separate"/>
        </w:r>
        <w:r>
          <w:rPr>
            <w:noProof/>
            <w:webHidden/>
          </w:rPr>
          <w:t>13</w:t>
        </w:r>
        <w:r>
          <w:rPr>
            <w:noProof/>
            <w:webHidden/>
          </w:rPr>
          <w:fldChar w:fldCharType="end"/>
        </w:r>
      </w:hyperlink>
    </w:p>
    <w:p w14:paraId="21ACF92D" w14:textId="0C60CE05"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5" w:history="1">
        <w:r w:rsidRPr="00B954FA">
          <w:rPr>
            <w:rStyle w:val="Hyperlink"/>
            <w:noProof/>
            <w:lang w:val="en-NZ"/>
          </w:rPr>
          <w:t>Lexy’s story</w:t>
        </w:r>
        <w:r>
          <w:rPr>
            <w:noProof/>
            <w:webHidden/>
          </w:rPr>
          <w:tab/>
        </w:r>
        <w:r>
          <w:rPr>
            <w:noProof/>
            <w:webHidden/>
          </w:rPr>
          <w:fldChar w:fldCharType="begin"/>
        </w:r>
        <w:r>
          <w:rPr>
            <w:noProof/>
            <w:webHidden/>
          </w:rPr>
          <w:instrText xml:space="preserve"> PAGEREF _Toc157079885 \h </w:instrText>
        </w:r>
        <w:r>
          <w:rPr>
            <w:noProof/>
            <w:webHidden/>
          </w:rPr>
        </w:r>
        <w:r>
          <w:rPr>
            <w:noProof/>
            <w:webHidden/>
          </w:rPr>
          <w:fldChar w:fldCharType="separate"/>
        </w:r>
        <w:r>
          <w:rPr>
            <w:noProof/>
            <w:webHidden/>
          </w:rPr>
          <w:t>20</w:t>
        </w:r>
        <w:r>
          <w:rPr>
            <w:noProof/>
            <w:webHidden/>
          </w:rPr>
          <w:fldChar w:fldCharType="end"/>
        </w:r>
      </w:hyperlink>
    </w:p>
    <w:p w14:paraId="03DFEFD2" w14:textId="3ADE1923"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6" w:history="1">
        <w:r w:rsidRPr="00B954FA">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_Toc157079886 \h </w:instrText>
        </w:r>
        <w:r>
          <w:rPr>
            <w:noProof/>
            <w:webHidden/>
          </w:rPr>
        </w:r>
        <w:r>
          <w:rPr>
            <w:noProof/>
            <w:webHidden/>
          </w:rPr>
          <w:fldChar w:fldCharType="separate"/>
        </w:r>
        <w:r>
          <w:rPr>
            <w:noProof/>
            <w:webHidden/>
          </w:rPr>
          <w:t>29</w:t>
        </w:r>
        <w:r>
          <w:rPr>
            <w:noProof/>
            <w:webHidden/>
          </w:rPr>
          <w:fldChar w:fldCharType="end"/>
        </w:r>
      </w:hyperlink>
    </w:p>
    <w:p w14:paraId="3579326C" w14:textId="6AA9A6B1" w:rsidR="00222703" w:rsidRDefault="00222703">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88" w:history="1">
        <w:r w:rsidRPr="00B954FA">
          <w:rPr>
            <w:rStyle w:val="Hyperlink"/>
            <w:noProof/>
            <w:lang w:val="en-NZ"/>
          </w:rPr>
          <w:t>Our supporters</w:t>
        </w:r>
        <w:r>
          <w:rPr>
            <w:noProof/>
            <w:webHidden/>
          </w:rPr>
          <w:tab/>
        </w:r>
        <w:r>
          <w:rPr>
            <w:noProof/>
            <w:webHidden/>
          </w:rPr>
          <w:fldChar w:fldCharType="begin"/>
        </w:r>
        <w:r>
          <w:rPr>
            <w:noProof/>
            <w:webHidden/>
          </w:rPr>
          <w:instrText xml:space="preserve"> PAGEREF _Toc157079888 \h </w:instrText>
        </w:r>
        <w:r>
          <w:rPr>
            <w:noProof/>
            <w:webHidden/>
          </w:rPr>
        </w:r>
        <w:r>
          <w:rPr>
            <w:noProof/>
            <w:webHidden/>
          </w:rPr>
          <w:fldChar w:fldCharType="separate"/>
        </w:r>
        <w:r>
          <w:rPr>
            <w:noProof/>
            <w:webHidden/>
          </w:rPr>
          <w:t>39</w:t>
        </w:r>
        <w:r>
          <w:rPr>
            <w:noProof/>
            <w:webHidden/>
          </w:rPr>
          <w:fldChar w:fldCharType="end"/>
        </w:r>
      </w:hyperlink>
    </w:p>
    <w:p w14:paraId="27CDC0E2" w14:textId="590ED9B3" w:rsidR="00816DC0" w:rsidRDefault="00222703" w:rsidP="00222703">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880"/>
      <w:r w:rsidRPr="00962011">
        <w:lastRenderedPageBreak/>
        <w:t>Mō mātou</w:t>
      </w:r>
      <w:bookmarkEnd w:id="6"/>
    </w:p>
    <w:p w14:paraId="299C894F" w14:textId="10EEE87E" w:rsidR="00C22BED" w:rsidRDefault="00C24EC2" w:rsidP="001A1CFD">
      <w:pPr>
        <w:pStyle w:val="Heading1"/>
        <w:rPr>
          <w:lang w:val="en-NZ"/>
        </w:rPr>
      </w:pPr>
      <w:bookmarkStart w:id="7" w:name="_Toc157079881"/>
      <w:r w:rsidRPr="00962011">
        <w:rPr>
          <w:lang w:val="en-NZ"/>
        </w:rPr>
        <w:t>About us</w:t>
      </w:r>
      <w:bookmarkEnd w:id="7"/>
    </w:p>
    <w:p w14:paraId="140E894B" w14:textId="607E8CBD" w:rsidR="007227B4" w:rsidRPr="00AE6AC9" w:rsidRDefault="00C24EC2" w:rsidP="00C22BED">
      <w:pPr>
        <w:rPr>
          <w:sz w:val="40"/>
          <w:szCs w:val="40"/>
          <w:lang w:val="en-NZ"/>
        </w:rPr>
      </w:pPr>
      <w:r w:rsidRPr="00AE6AC9">
        <w:rPr>
          <w:sz w:val="40"/>
          <w:szCs w:val="40"/>
          <w:lang w:val="en-NZ"/>
        </w:rPr>
        <w:t xml:space="preserve">CCS Disability Action </w:t>
      </w:r>
      <w:r w:rsidR="00174C77" w:rsidRPr="00174C77">
        <w:rPr>
          <w:sz w:val="40"/>
          <w:szCs w:val="40"/>
          <w:lang w:val="en-NZ"/>
        </w:rPr>
        <w:t>Waikato</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882"/>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2607F5C6" w:rsidR="00C16F19" w:rsidRPr="00962011" w:rsidRDefault="00174C77" w:rsidP="00C16F19">
      <w:pPr>
        <w:rPr>
          <w:lang w:val="en-NZ"/>
        </w:rPr>
      </w:pPr>
      <w:r w:rsidRPr="00174C77">
        <w:rPr>
          <w:lang w:val="en-NZ"/>
        </w:rPr>
        <w:t xml:space="preserve">CCS Disability Action Waikato was incorporated in 1964 and covers the large geographic area bounded by </w:t>
      </w:r>
      <w:r w:rsidRPr="00174C77">
        <w:rPr>
          <w:lang w:val="mi-NZ"/>
        </w:rPr>
        <w:t>Meremere,</w:t>
      </w:r>
      <w:r w:rsidRPr="00174C77">
        <w:rPr>
          <w:lang w:val="en-NZ"/>
        </w:rPr>
        <w:t xml:space="preserve"> Huntly, Thames and Coromandel Township to the North, Waihi and Tokoroa in the East, </w:t>
      </w:r>
      <w:r w:rsidRPr="00174C77">
        <w:rPr>
          <w:lang w:val="mi-NZ"/>
        </w:rPr>
        <w:t xml:space="preserve">Taumarunui </w:t>
      </w:r>
      <w:r w:rsidRPr="00174C77">
        <w:rPr>
          <w:lang w:val="en-NZ"/>
        </w:rPr>
        <w:t xml:space="preserve">and Tongariro National Park in the South and across to </w:t>
      </w:r>
      <w:r w:rsidRPr="00174C77">
        <w:rPr>
          <w:lang w:val="mi-NZ"/>
        </w:rPr>
        <w:t>Awakino</w:t>
      </w:r>
      <w:r w:rsidRPr="00174C77">
        <w:rPr>
          <w:lang w:val="en-NZ"/>
        </w:rPr>
        <w:t xml:space="preserve"> and </w:t>
      </w:r>
      <w:r w:rsidRPr="00174C77">
        <w:rPr>
          <w:lang w:val="mi-NZ"/>
        </w:rPr>
        <w:t>Kawhia</w:t>
      </w:r>
      <w:r w:rsidRPr="00174C77">
        <w:rPr>
          <w:lang w:val="en-NZ"/>
        </w:rPr>
        <w:t xml:space="preserve"> in the West. This area is served by a branch in Hamilton.</w:t>
      </w:r>
    </w:p>
    <w:p w14:paraId="17A341F5" w14:textId="77777777" w:rsidR="0063695B" w:rsidRPr="005B0A75" w:rsidRDefault="0063695B" w:rsidP="00902710">
      <w:pPr>
        <w:pStyle w:val="Heading1"/>
        <w:rPr>
          <w:lang w:val="en-NZ"/>
        </w:rPr>
      </w:pPr>
      <w:bookmarkStart w:id="9" w:name="_Toc156473602"/>
      <w:bookmarkStart w:id="10" w:name="_Toc157079883"/>
      <w:r w:rsidRPr="005B0A75">
        <w:rPr>
          <w:lang w:val="en-NZ"/>
        </w:rPr>
        <w:lastRenderedPageBreak/>
        <w:t>Branch report</w:t>
      </w:r>
      <w:bookmarkEnd w:id="9"/>
      <w:bookmarkEnd w:id="10"/>
    </w:p>
    <w:p w14:paraId="7A3EFE99" w14:textId="0F2CA1DE" w:rsidR="00BD66EF" w:rsidRPr="00174C77" w:rsidRDefault="00174C77" w:rsidP="00174C77">
      <w:pPr>
        <w:pStyle w:val="Heading2"/>
        <w:rPr>
          <w:lang w:val="en-NZ"/>
        </w:rPr>
      </w:pPr>
      <w:r w:rsidRPr="00174C77">
        <w:rPr>
          <w:bCs/>
          <w:lang w:val="en-NZ"/>
        </w:rPr>
        <w:t>Colene Herbert, general manager</w:t>
      </w:r>
      <w:r>
        <w:rPr>
          <w:bCs/>
          <w:lang w:val="en-NZ"/>
        </w:rPr>
        <w:br/>
      </w:r>
      <w:r w:rsidRPr="00174C77">
        <w:rPr>
          <w:bCs/>
          <w:lang w:val="en-NZ"/>
        </w:rPr>
        <w:t>John Forbes, chairperson, local advisory committee</w:t>
      </w:r>
      <w:r>
        <w:rPr>
          <w:bCs/>
          <w:lang w:val="en-NZ"/>
        </w:rPr>
        <w:br/>
      </w:r>
      <w:r w:rsidRPr="00174C77">
        <w:rPr>
          <w:bCs/>
          <w:lang w:val="en-NZ"/>
        </w:rPr>
        <w:t xml:space="preserve">Sarah </w:t>
      </w:r>
      <w:proofErr w:type="spellStart"/>
      <w:r w:rsidRPr="00174C77">
        <w:rPr>
          <w:bCs/>
          <w:lang w:val="en-NZ"/>
        </w:rPr>
        <w:t>Verran</w:t>
      </w:r>
      <w:proofErr w:type="spellEnd"/>
      <w:r w:rsidRPr="00174C77">
        <w:rPr>
          <w:bCs/>
          <w:lang w:val="en-NZ"/>
        </w:rPr>
        <w:t>, regional representative to the national board</w:t>
      </w:r>
    </w:p>
    <w:p w14:paraId="1BF70332" w14:textId="77777777" w:rsidR="00174C77" w:rsidRPr="00174C77" w:rsidRDefault="00174C77" w:rsidP="00174C77">
      <w:pPr>
        <w:rPr>
          <w:lang w:val="en-NZ"/>
        </w:rPr>
      </w:pPr>
      <w:r w:rsidRPr="00174C77">
        <w:rPr>
          <w:lang w:val="en-NZ"/>
        </w:rPr>
        <w:t>The last year has been all about carefully emerging from a Covid-19 working environment to getting back to a sense of business as usual. This has taken some adjustment as we have shaken off the cocoon of working from home and adjusted to freer movement and interactions with people we support, each other as colleagues and the community at large.</w:t>
      </w:r>
    </w:p>
    <w:p w14:paraId="479D0AEB" w14:textId="014B1D59" w:rsidR="0069303C" w:rsidRDefault="00174C77" w:rsidP="00174C77">
      <w:pPr>
        <w:rPr>
          <w:lang w:val="en-NZ"/>
        </w:rPr>
      </w:pPr>
      <w:r w:rsidRPr="00174C77">
        <w:rPr>
          <w:lang w:val="en-NZ"/>
        </w:rPr>
        <w:t xml:space="preserve">A feature of the last 12 months has been our implementation of </w:t>
      </w:r>
      <w:r w:rsidRPr="003E2FC9">
        <w:rPr>
          <w:lang w:val="mi-NZ"/>
        </w:rPr>
        <w:t>Te Aronui</w:t>
      </w:r>
      <w:r w:rsidRPr="00174C77">
        <w:rPr>
          <w:lang w:val="en-NZ"/>
        </w:rPr>
        <w:t xml:space="preserve"> – the national strategic priorities 2023-2028. Our branch planning day on 1 June 2023 was highly successful as we collectively shaped our work for the year based around </w:t>
      </w:r>
      <w:r w:rsidRPr="003E2FC9">
        <w:rPr>
          <w:lang w:val="mi-NZ"/>
        </w:rPr>
        <w:t>Te Aronui.</w:t>
      </w:r>
    </w:p>
    <w:p w14:paraId="1402156B" w14:textId="77777777" w:rsidR="00174C77" w:rsidRPr="00174C77" w:rsidRDefault="00174C77" w:rsidP="003E2FC9">
      <w:pPr>
        <w:pStyle w:val="Heading3"/>
        <w:rPr>
          <w:lang w:val="en-NZ"/>
        </w:rPr>
      </w:pPr>
      <w:r w:rsidRPr="00174C77">
        <w:rPr>
          <w:lang w:val="en-NZ"/>
        </w:rPr>
        <w:lastRenderedPageBreak/>
        <w:t>Farewell to a giant</w:t>
      </w:r>
    </w:p>
    <w:p w14:paraId="3006C5BE" w14:textId="6CEB547F" w:rsidR="00174C77" w:rsidRPr="00174C77" w:rsidRDefault="00174C77" w:rsidP="00174C77">
      <w:pPr>
        <w:rPr>
          <w:lang w:val="en-NZ"/>
        </w:rPr>
      </w:pPr>
      <w:r w:rsidRPr="00174C77">
        <w:rPr>
          <w:lang w:val="en-NZ"/>
        </w:rPr>
        <w:t xml:space="preserve">We paused in this time to mourn and observe the passing of our beloved </w:t>
      </w:r>
      <w:r w:rsidRPr="003E2FC9">
        <w:rPr>
          <w:lang w:val="mi-NZ"/>
        </w:rPr>
        <w:t>kaumatua Haehae Heta.</w:t>
      </w:r>
      <w:r w:rsidRPr="00174C77">
        <w:rPr>
          <w:lang w:val="en-NZ"/>
        </w:rPr>
        <w:t xml:space="preserve"> We pay tribute to his many years of service to the Waikato branch and thank his wife, Pare and his </w:t>
      </w:r>
      <w:r w:rsidRPr="003E2FC9">
        <w:rPr>
          <w:lang w:val="mi-NZ"/>
        </w:rPr>
        <w:t>whānau,</w:t>
      </w:r>
      <w:r w:rsidRPr="00174C77">
        <w:rPr>
          <w:lang w:val="en-NZ"/>
        </w:rPr>
        <w:t xml:space="preserve"> for allowing CCS </w:t>
      </w:r>
      <w:proofErr w:type="spellStart"/>
      <w:r w:rsidRPr="00174C77">
        <w:rPr>
          <w:lang w:val="en-NZ"/>
        </w:rPr>
        <w:t>Disabiliy</w:t>
      </w:r>
      <w:proofErr w:type="spellEnd"/>
      <w:r w:rsidRPr="00174C77">
        <w:rPr>
          <w:lang w:val="en-NZ"/>
        </w:rPr>
        <w:t xml:space="preserve"> Action to share in his many talents and wisdom. He is deeply missed.</w:t>
      </w:r>
    </w:p>
    <w:p w14:paraId="0EDCDE79" w14:textId="77777777" w:rsidR="00174C77" w:rsidRPr="003E2FC9" w:rsidRDefault="00174C77" w:rsidP="00174C77">
      <w:pPr>
        <w:rPr>
          <w:lang w:val="mi-NZ"/>
        </w:rPr>
      </w:pPr>
      <w:r w:rsidRPr="003E2FC9">
        <w:rPr>
          <w:lang w:val="mi-NZ"/>
        </w:rPr>
        <w:t>E te rangatira, whakahokia ki tōu kāinga tūturu. Takoto, takoto, takoto mai rā.</w:t>
      </w:r>
    </w:p>
    <w:p w14:paraId="4A4F7045" w14:textId="77777777" w:rsidR="00174C77" w:rsidRPr="00174C77" w:rsidRDefault="00174C77" w:rsidP="003E2FC9">
      <w:pPr>
        <w:pStyle w:val="Heading3"/>
        <w:rPr>
          <w:lang w:val="en-NZ"/>
        </w:rPr>
      </w:pPr>
      <w:r w:rsidRPr="00174C77">
        <w:rPr>
          <w:lang w:val="en-NZ"/>
        </w:rPr>
        <w:t>Highlights</w:t>
      </w:r>
    </w:p>
    <w:p w14:paraId="6492D644" w14:textId="77777777" w:rsidR="00174C77" w:rsidRPr="00174C77" w:rsidRDefault="00174C77" w:rsidP="00174C77">
      <w:pPr>
        <w:rPr>
          <w:lang w:val="en-NZ"/>
        </w:rPr>
      </w:pPr>
      <w:r w:rsidRPr="00174C77">
        <w:rPr>
          <w:lang w:val="en-NZ"/>
        </w:rPr>
        <w:t>In the Waikato area of the Midland region, we’ve been delighted to celebrate some amazing successes such as receiving a large bequest from a very generous donor in rural Waikato. From this we have formed the George Estate Committee that has looked at how best to funnel bequests into projects and ideas that will benefit disabled people in Waikato.</w:t>
      </w:r>
    </w:p>
    <w:p w14:paraId="39B18A44" w14:textId="4C86B5E3" w:rsidR="00174C77" w:rsidRDefault="00174C77" w:rsidP="00174C77">
      <w:pPr>
        <w:rPr>
          <w:lang w:val="en-NZ"/>
        </w:rPr>
      </w:pPr>
      <w:r w:rsidRPr="00174C77">
        <w:rPr>
          <w:lang w:val="en-NZ"/>
        </w:rPr>
        <w:t xml:space="preserve">To date we have combined with the Gemini Trust to donate $250k to the development of the Magical Bridge </w:t>
      </w:r>
      <w:r w:rsidRPr="00174C77">
        <w:rPr>
          <w:lang w:val="en-NZ"/>
        </w:rPr>
        <w:lastRenderedPageBreak/>
        <w:t>Trust playground in Hamilton, designed for use by disabled children. We are looking into a solar panel project that can support subsidised energy use by disabled people. We are collaborating with other agencies to fulfil a gap for disabled people in the purchase and affordability of specialised equipment that supports independence. We are also meeting with thought leaders in the accessible housing space to consider what effect the George Estate can make.</w:t>
      </w:r>
    </w:p>
    <w:p w14:paraId="20391EA9" w14:textId="77777777" w:rsidR="00174C77" w:rsidRPr="00174C77" w:rsidRDefault="00174C77" w:rsidP="00FE6BD1">
      <w:pPr>
        <w:pStyle w:val="Heading3"/>
        <w:rPr>
          <w:lang w:val="en-NZ"/>
        </w:rPr>
      </w:pPr>
      <w:r w:rsidRPr="00FE6BD1">
        <w:rPr>
          <w:lang w:val="mi-NZ"/>
        </w:rPr>
        <w:t>Karanga Maha</w:t>
      </w:r>
      <w:r w:rsidRPr="00174C77">
        <w:rPr>
          <w:lang w:val="en-NZ"/>
        </w:rPr>
        <w:t xml:space="preserve"> forums</w:t>
      </w:r>
    </w:p>
    <w:p w14:paraId="4A5A0FA3" w14:textId="77777777" w:rsidR="00174C77" w:rsidRPr="00174C77" w:rsidRDefault="00174C77" w:rsidP="00174C77">
      <w:pPr>
        <w:rPr>
          <w:lang w:val="en-NZ"/>
        </w:rPr>
      </w:pPr>
      <w:r w:rsidRPr="00174C77">
        <w:rPr>
          <w:lang w:val="en-NZ"/>
        </w:rPr>
        <w:t xml:space="preserve">The ‘Many Voices’ </w:t>
      </w:r>
      <w:r w:rsidRPr="00FE6BD1">
        <w:rPr>
          <w:lang w:val="mi-NZ"/>
        </w:rPr>
        <w:t>hui</w:t>
      </w:r>
      <w:r w:rsidRPr="00174C77">
        <w:rPr>
          <w:lang w:val="en-NZ"/>
        </w:rPr>
        <w:t xml:space="preserve"> have continued with energy and excitement throughout the last year with well attended hui being held on both </w:t>
      </w:r>
      <w:r w:rsidRPr="00FE6BD1">
        <w:rPr>
          <w:lang w:val="mi-NZ"/>
        </w:rPr>
        <w:t>Tauwhare</w:t>
      </w:r>
      <w:r w:rsidRPr="00174C77">
        <w:rPr>
          <w:lang w:val="en-NZ"/>
        </w:rPr>
        <w:t xml:space="preserve"> and </w:t>
      </w:r>
      <w:r w:rsidRPr="00FE6BD1">
        <w:rPr>
          <w:lang w:val="mi-NZ"/>
        </w:rPr>
        <w:t>Te Kauri marae.</w:t>
      </w:r>
      <w:r w:rsidRPr="00174C77">
        <w:rPr>
          <w:lang w:val="en-NZ"/>
        </w:rPr>
        <w:t xml:space="preserve"> In the July forum, special emphasis was given to educating </w:t>
      </w:r>
      <w:r w:rsidRPr="00FE6BD1">
        <w:rPr>
          <w:lang w:val="mi-NZ"/>
        </w:rPr>
        <w:t>whānau</w:t>
      </w:r>
      <w:r w:rsidRPr="00174C77">
        <w:rPr>
          <w:lang w:val="en-NZ"/>
        </w:rPr>
        <w:t xml:space="preserve"> around vaccinations with special emphasis on the MMR vaccine. We are grateful to the </w:t>
      </w:r>
      <w:r w:rsidRPr="00FE6BD1">
        <w:rPr>
          <w:lang w:val="mi-NZ"/>
        </w:rPr>
        <w:t>Karanga Maha</w:t>
      </w:r>
      <w:r w:rsidRPr="00174C77">
        <w:rPr>
          <w:lang w:val="en-NZ"/>
        </w:rPr>
        <w:t xml:space="preserve"> organisers who give of their time to host a range of fun activities such as youth discos, talent shows, </w:t>
      </w:r>
      <w:r w:rsidRPr="00FE6BD1">
        <w:rPr>
          <w:lang w:val="mi-NZ"/>
        </w:rPr>
        <w:t xml:space="preserve">waiata </w:t>
      </w:r>
      <w:r w:rsidRPr="00174C77">
        <w:rPr>
          <w:lang w:val="en-NZ"/>
        </w:rPr>
        <w:t xml:space="preserve">sessions, amazing banquets, and costume competitions. </w:t>
      </w:r>
      <w:proofErr w:type="gramStart"/>
      <w:r w:rsidRPr="00174C77">
        <w:rPr>
          <w:lang w:val="en-NZ"/>
        </w:rPr>
        <w:t xml:space="preserve">These </w:t>
      </w:r>
      <w:r w:rsidRPr="00FE6BD1">
        <w:rPr>
          <w:lang w:val="mi-NZ"/>
        </w:rPr>
        <w:t>hui</w:t>
      </w:r>
      <w:proofErr w:type="gramEnd"/>
      <w:r w:rsidRPr="00FE6BD1">
        <w:rPr>
          <w:lang w:val="mi-NZ"/>
        </w:rPr>
        <w:t xml:space="preserve"> </w:t>
      </w:r>
      <w:r w:rsidRPr="00174C77">
        <w:rPr>
          <w:lang w:val="en-NZ"/>
        </w:rPr>
        <w:t xml:space="preserve">provide a positive platform for </w:t>
      </w:r>
      <w:r w:rsidRPr="00FE6BD1">
        <w:rPr>
          <w:lang w:val="mi-NZ"/>
        </w:rPr>
        <w:t>whānau hauā</w:t>
      </w:r>
      <w:r w:rsidRPr="00174C77">
        <w:rPr>
          <w:lang w:val="en-NZ"/>
        </w:rPr>
        <w:t xml:space="preserve"> to gather and support one another.</w:t>
      </w:r>
    </w:p>
    <w:p w14:paraId="7C16BCAC" w14:textId="77777777" w:rsidR="00174C77" w:rsidRPr="00174C77" w:rsidRDefault="00174C77" w:rsidP="00FE6BD1">
      <w:pPr>
        <w:pStyle w:val="Heading3"/>
        <w:rPr>
          <w:lang w:val="en-NZ"/>
        </w:rPr>
      </w:pPr>
      <w:r w:rsidRPr="00174C77">
        <w:rPr>
          <w:lang w:val="en-NZ"/>
        </w:rPr>
        <w:lastRenderedPageBreak/>
        <w:t>Gemini Trust</w:t>
      </w:r>
    </w:p>
    <w:p w14:paraId="0F51183C" w14:textId="77777777" w:rsidR="00174C77" w:rsidRPr="00174C77" w:rsidRDefault="00174C77" w:rsidP="00174C77">
      <w:pPr>
        <w:rPr>
          <w:lang w:val="en-NZ"/>
        </w:rPr>
      </w:pPr>
      <w:r w:rsidRPr="00174C77">
        <w:rPr>
          <w:lang w:val="en-NZ"/>
        </w:rPr>
        <w:t>The Gemini Trust (formerly the NZCCS Waikato Fundraising Trust) has been in operation since 1995 following several successful marketing campaigns and small business ventures within the Waikato branch. In June of this year the trust was formally wound up and the funds transferred to The Momentum Trust, Waikato. The Waikato branch thanks the trustees of Gemini for their dedication and successful management of this fund over the years and we look forward to continuing this relationship with Momentum.</w:t>
      </w:r>
    </w:p>
    <w:p w14:paraId="351B721D" w14:textId="77777777" w:rsidR="00174C77" w:rsidRPr="00174C77" w:rsidRDefault="00174C77" w:rsidP="00FE6BD1">
      <w:pPr>
        <w:pStyle w:val="Heading3"/>
        <w:rPr>
          <w:lang w:val="en-NZ"/>
        </w:rPr>
      </w:pPr>
      <w:r w:rsidRPr="00FE6BD1">
        <w:rPr>
          <w:lang w:val="mi-NZ"/>
        </w:rPr>
        <w:t>Ngā mihi nui</w:t>
      </w:r>
      <w:r w:rsidRPr="00174C77">
        <w:rPr>
          <w:lang w:val="en-NZ"/>
        </w:rPr>
        <w:t xml:space="preserve"> – Thank you</w:t>
      </w:r>
    </w:p>
    <w:p w14:paraId="4B3EF8FD" w14:textId="4A092AAA" w:rsidR="00174C77" w:rsidRDefault="00174C77" w:rsidP="00174C77">
      <w:pPr>
        <w:rPr>
          <w:lang w:val="en-NZ"/>
        </w:rPr>
      </w:pPr>
      <w:r w:rsidRPr="00174C77">
        <w:rPr>
          <w:lang w:val="en-NZ"/>
        </w:rPr>
        <w:t xml:space="preserve">We would like to acknowledge and thank Kathy </w:t>
      </w:r>
      <w:proofErr w:type="spellStart"/>
      <w:r w:rsidRPr="00174C77">
        <w:rPr>
          <w:lang w:val="en-NZ"/>
        </w:rPr>
        <w:t>Harward</w:t>
      </w:r>
      <w:proofErr w:type="spellEnd"/>
      <w:r w:rsidRPr="00174C77">
        <w:rPr>
          <w:lang w:val="en-NZ"/>
        </w:rPr>
        <w:t xml:space="preserve"> and the staff of the Waikato branch for your resilience in often challenging environments. The little things you do don’t go unnoticed. Thank you to Jacqui Tarawa who takes all the minutes of our governance meetings, arranges our meeting times, flights, food and Zoom coaching sessions all year long. Where would we all be without you? Also, to our local governance committees </w:t>
      </w:r>
      <w:r w:rsidRPr="00174C77">
        <w:rPr>
          <w:lang w:val="en-NZ"/>
        </w:rPr>
        <w:lastRenderedPageBreak/>
        <w:t>for being our eyes and ears on the ground and for sharing ideas so we can move forward with exciting projects in 2024 – we thank you wholeheartedly.</w:t>
      </w:r>
    </w:p>
    <w:p w14:paraId="5CB68ACE" w14:textId="239F50AA" w:rsidR="00174C77" w:rsidRPr="00047B1D" w:rsidRDefault="00174C77" w:rsidP="00174C77">
      <w:pPr>
        <w:rPr>
          <w:sz w:val="40"/>
          <w:szCs w:val="40"/>
          <w:lang w:val="en-NZ"/>
        </w:rPr>
      </w:pPr>
      <w:r w:rsidRPr="00047B1D">
        <w:rPr>
          <w:sz w:val="40"/>
          <w:szCs w:val="40"/>
          <w:lang w:val="en-NZ"/>
        </w:rPr>
        <w:t>“To date we have combined with the Gemini Trust to donate $250k to the development of the Magical Bridge Trust playground in Hamilton, designed for use by disabled children.”</w:t>
      </w:r>
    </w:p>
    <w:p w14:paraId="38A599AD" w14:textId="77777777" w:rsidR="00902710" w:rsidRPr="00B92821" w:rsidRDefault="00902710" w:rsidP="00902710">
      <w:pPr>
        <w:pStyle w:val="Heading1"/>
        <w:rPr>
          <w:lang w:val="en-NZ"/>
        </w:rPr>
      </w:pPr>
      <w:bookmarkStart w:id="11" w:name="_Toc156473603"/>
      <w:bookmarkStart w:id="12" w:name="_Toc157079884"/>
      <w:r w:rsidRPr="00B92821">
        <w:rPr>
          <w:lang w:val="en-NZ"/>
        </w:rPr>
        <w:t>Local Executive Committee report</w:t>
      </w:r>
      <w:bookmarkEnd w:id="11"/>
      <w:bookmarkEnd w:id="12"/>
    </w:p>
    <w:p w14:paraId="44055697" w14:textId="48DF4C79" w:rsidR="00902710" w:rsidRPr="00174C77" w:rsidRDefault="00174C77" w:rsidP="002D6EAA">
      <w:pPr>
        <w:pStyle w:val="Heading2"/>
        <w:rPr>
          <w:lang w:val="en-NZ"/>
        </w:rPr>
      </w:pPr>
      <w:r w:rsidRPr="00174C77">
        <w:rPr>
          <w:bCs/>
          <w:lang w:val="en-NZ"/>
        </w:rPr>
        <w:t>Mike Garrett, chairperson, local executive committee</w:t>
      </w:r>
    </w:p>
    <w:p w14:paraId="16B60BD2" w14:textId="77777777" w:rsidR="00174C77" w:rsidRPr="00174C77" w:rsidRDefault="00174C77" w:rsidP="00047B1D">
      <w:pPr>
        <w:pStyle w:val="Heading3"/>
        <w:rPr>
          <w:lang w:val="en-NZ"/>
        </w:rPr>
      </w:pPr>
      <w:r w:rsidRPr="00174C77">
        <w:rPr>
          <w:lang w:val="en-NZ"/>
        </w:rPr>
        <w:t>Challenges</w:t>
      </w:r>
    </w:p>
    <w:p w14:paraId="60F036AD" w14:textId="77777777" w:rsidR="00174C77" w:rsidRPr="00047B1D" w:rsidRDefault="00174C77" w:rsidP="00174C77">
      <w:pPr>
        <w:rPr>
          <w:szCs w:val="36"/>
          <w:lang w:val="en-NZ"/>
        </w:rPr>
      </w:pPr>
      <w:r w:rsidRPr="00047B1D">
        <w:rPr>
          <w:szCs w:val="36"/>
          <w:lang w:val="en-NZ"/>
        </w:rPr>
        <w:t>This last year has continued to be challenging with Covid-19 continuing to impact the way we do things for most of the year, and inflationary pressures resulting in a cost-of-living crisis that adversely hit our disabled communities the hardest.</w:t>
      </w:r>
    </w:p>
    <w:p w14:paraId="7A6E7E4F" w14:textId="77777777" w:rsidR="00174C77" w:rsidRPr="00047B1D" w:rsidRDefault="00174C77" w:rsidP="00174C77">
      <w:pPr>
        <w:rPr>
          <w:szCs w:val="36"/>
          <w:lang w:val="en-NZ"/>
        </w:rPr>
      </w:pPr>
      <w:r w:rsidRPr="00047B1D">
        <w:rPr>
          <w:szCs w:val="36"/>
          <w:lang w:val="en-NZ"/>
        </w:rPr>
        <w:lastRenderedPageBreak/>
        <w:t xml:space="preserve">Despite these challenges, our staff and volunteers, led by Kathy </w:t>
      </w:r>
      <w:proofErr w:type="spellStart"/>
      <w:r w:rsidRPr="00047B1D">
        <w:rPr>
          <w:szCs w:val="36"/>
          <w:lang w:val="en-NZ"/>
        </w:rPr>
        <w:t>Harward</w:t>
      </w:r>
      <w:proofErr w:type="spellEnd"/>
      <w:r w:rsidRPr="00047B1D">
        <w:rPr>
          <w:szCs w:val="36"/>
          <w:lang w:val="en-NZ"/>
        </w:rPr>
        <w:t xml:space="preserve"> and with Colene Herbert’s guidance, continued to show their commitment to serving our community. The Local Executive Committee (LEC) acknowledges and thanks all of you.</w:t>
      </w:r>
    </w:p>
    <w:p w14:paraId="7BF09960" w14:textId="77777777" w:rsidR="00174C77" w:rsidRPr="00047B1D" w:rsidRDefault="00174C77" w:rsidP="00047B1D">
      <w:pPr>
        <w:pStyle w:val="Heading3"/>
        <w:rPr>
          <w:lang w:val="en-NZ"/>
        </w:rPr>
      </w:pPr>
      <w:r w:rsidRPr="00047B1D">
        <w:rPr>
          <w:lang w:val="en-NZ"/>
        </w:rPr>
        <w:t>Financial performance</w:t>
      </w:r>
    </w:p>
    <w:p w14:paraId="583901AB" w14:textId="77777777" w:rsidR="00174C77" w:rsidRPr="00047B1D" w:rsidRDefault="00174C77" w:rsidP="00174C77">
      <w:pPr>
        <w:rPr>
          <w:szCs w:val="36"/>
          <w:lang w:val="en-NZ"/>
        </w:rPr>
      </w:pPr>
      <w:r w:rsidRPr="00047B1D">
        <w:rPr>
          <w:szCs w:val="36"/>
          <w:lang w:val="en-NZ"/>
        </w:rPr>
        <w:t>The 2023 financial year result for the year was a disappointing operating deficit of $75,940 compared to our budget surplus of $41,710. The fact we incurred an operating deficit is of concern and reflects that we are not fully recovering our costs on several government contracts. We are also suffering from a loss of people we support in a fluid Enabling Good Lives environment which has been challenging to forecast within.</w:t>
      </w:r>
    </w:p>
    <w:p w14:paraId="1E01D876" w14:textId="77777777" w:rsidR="00174C77" w:rsidRPr="00047B1D" w:rsidRDefault="00174C77" w:rsidP="00047B1D">
      <w:pPr>
        <w:pStyle w:val="Heading3"/>
        <w:rPr>
          <w:lang w:val="en-NZ"/>
        </w:rPr>
      </w:pPr>
      <w:r w:rsidRPr="00047B1D">
        <w:rPr>
          <w:lang w:val="en-NZ"/>
        </w:rPr>
        <w:t>Budget planning</w:t>
      </w:r>
    </w:p>
    <w:p w14:paraId="50FB05E2" w14:textId="79C87116" w:rsidR="00902710" w:rsidRPr="00047B1D" w:rsidRDefault="00174C77" w:rsidP="00174C77">
      <w:pPr>
        <w:rPr>
          <w:szCs w:val="36"/>
          <w:lang w:val="en-NZ"/>
        </w:rPr>
      </w:pPr>
      <w:r w:rsidRPr="00047B1D">
        <w:rPr>
          <w:szCs w:val="36"/>
          <w:lang w:val="en-NZ"/>
        </w:rPr>
        <w:t xml:space="preserve">In setting the 2024 budget the LEC spent some time working with management to set a budget that forecasts a small surplus which we will need to closely monitor as the year progresses. The operating financial situation we find ourselves in, is typical across other CCS Disability </w:t>
      </w:r>
      <w:r w:rsidRPr="00047B1D">
        <w:rPr>
          <w:szCs w:val="36"/>
          <w:lang w:val="en-NZ"/>
        </w:rPr>
        <w:lastRenderedPageBreak/>
        <w:t>Action branches and highlights the need for a strategic review of the organisation’s funding model. The LEC will continue to focus on ensuring the branch strives to meeting the needs of the people we support while also operating within our means.</w:t>
      </w:r>
    </w:p>
    <w:p w14:paraId="5CA8775F" w14:textId="77777777" w:rsidR="00174C77" w:rsidRPr="00047B1D" w:rsidRDefault="00174C77" w:rsidP="00665AA2">
      <w:pPr>
        <w:pStyle w:val="Heading3"/>
        <w:rPr>
          <w:lang w:val="en-NZ"/>
        </w:rPr>
      </w:pPr>
      <w:r w:rsidRPr="00047B1D">
        <w:rPr>
          <w:lang w:val="en-NZ"/>
        </w:rPr>
        <w:t>Investment performance</w:t>
      </w:r>
    </w:p>
    <w:p w14:paraId="52DEE276" w14:textId="1B02F466" w:rsidR="00174C77" w:rsidRPr="00047B1D" w:rsidRDefault="00174C77" w:rsidP="00174C77">
      <w:pPr>
        <w:rPr>
          <w:szCs w:val="36"/>
          <w:lang w:val="en-NZ"/>
        </w:rPr>
      </w:pPr>
      <w:r w:rsidRPr="00047B1D">
        <w:rPr>
          <w:szCs w:val="36"/>
          <w:lang w:val="en-NZ"/>
        </w:rPr>
        <w:t>Despite ongoing global market uncertainty, the investment fund returned a solid 5.68% for the 12 months to 30 June 2023 and the fund value at that date increased to $6,331,650.</w:t>
      </w:r>
    </w:p>
    <w:p w14:paraId="20D378D2" w14:textId="77777777" w:rsidR="00174C77" w:rsidRPr="00047B1D" w:rsidRDefault="00174C77" w:rsidP="00174C77">
      <w:pPr>
        <w:rPr>
          <w:szCs w:val="36"/>
          <w:lang w:val="en-NZ"/>
        </w:rPr>
      </w:pPr>
      <w:r w:rsidRPr="00047B1D">
        <w:rPr>
          <w:szCs w:val="36"/>
          <w:lang w:val="en-NZ"/>
        </w:rPr>
        <w:t>Statement of investment policy</w:t>
      </w:r>
    </w:p>
    <w:p w14:paraId="6BCECFAD" w14:textId="77777777" w:rsidR="00174C77" w:rsidRPr="00047B1D" w:rsidRDefault="00174C77" w:rsidP="00174C77">
      <w:pPr>
        <w:rPr>
          <w:szCs w:val="36"/>
          <w:lang w:val="en-NZ"/>
        </w:rPr>
      </w:pPr>
      <w:r w:rsidRPr="00047B1D">
        <w:rPr>
          <w:szCs w:val="36"/>
          <w:lang w:val="en-NZ"/>
        </w:rPr>
        <w:t xml:space="preserve">During the year a national working party, which included myself and Regional Accountant and HR Manager Mark </w:t>
      </w:r>
      <w:proofErr w:type="spellStart"/>
      <w:r w:rsidRPr="00047B1D">
        <w:rPr>
          <w:szCs w:val="36"/>
          <w:lang w:val="en-NZ"/>
        </w:rPr>
        <w:t>Weidenbohm</w:t>
      </w:r>
      <w:proofErr w:type="spellEnd"/>
      <w:r w:rsidRPr="00047B1D">
        <w:rPr>
          <w:szCs w:val="36"/>
          <w:lang w:val="en-NZ"/>
        </w:rPr>
        <w:t>, undertook a review of the organisation’s Statement of Investment Policy (SIPO) which sets out the objectives, policies, beliefs, and governing decisions regarding the investments of the branch.</w:t>
      </w:r>
    </w:p>
    <w:p w14:paraId="02ABBA75" w14:textId="45FFDD64" w:rsidR="00174C77" w:rsidRPr="00047B1D" w:rsidRDefault="00174C77" w:rsidP="00174C77">
      <w:pPr>
        <w:rPr>
          <w:szCs w:val="36"/>
          <w:lang w:val="en-NZ"/>
        </w:rPr>
      </w:pPr>
      <w:r w:rsidRPr="00047B1D">
        <w:rPr>
          <w:szCs w:val="36"/>
          <w:lang w:val="en-NZ"/>
        </w:rPr>
        <w:t xml:space="preserve">The new SIPO was approved by the National Board in March. Following discussions with our investment </w:t>
      </w:r>
      <w:r w:rsidRPr="00047B1D">
        <w:rPr>
          <w:szCs w:val="36"/>
          <w:lang w:val="en-NZ"/>
        </w:rPr>
        <w:lastRenderedPageBreak/>
        <w:t>advisors Craigs Investment Partners, the LEC approved a change to our investment fund asset allocation going forward, to increase our allocation to growth assets (shares) from 50% to 60%. This reflects the fact that we are long term investors and results in a balanced portfolio which is typical of organisations like ourselves.</w:t>
      </w:r>
    </w:p>
    <w:p w14:paraId="111CDE9E" w14:textId="77777777" w:rsidR="00174C77" w:rsidRPr="00047B1D" w:rsidRDefault="00174C77" w:rsidP="00665AA2">
      <w:pPr>
        <w:pStyle w:val="Heading3"/>
        <w:rPr>
          <w:lang w:val="en-NZ"/>
        </w:rPr>
      </w:pPr>
      <w:r w:rsidRPr="00047B1D">
        <w:rPr>
          <w:lang w:val="en-NZ"/>
        </w:rPr>
        <w:t>Leaving a legacy</w:t>
      </w:r>
    </w:p>
    <w:p w14:paraId="3FD980AE" w14:textId="55CDC708" w:rsidR="00174C77" w:rsidRPr="00047B1D" w:rsidRDefault="00174C77" w:rsidP="00174C77">
      <w:pPr>
        <w:rPr>
          <w:szCs w:val="36"/>
          <w:lang w:val="en-NZ"/>
        </w:rPr>
      </w:pPr>
      <w:r w:rsidRPr="00047B1D">
        <w:rPr>
          <w:szCs w:val="36"/>
          <w:lang w:val="en-NZ"/>
        </w:rPr>
        <w:t xml:space="preserve">During the year we have been extremely fortunate to have a significant bequest of $5,184,716 from the Brian George estate confirmed. Brian was an elderly retired farmer living near </w:t>
      </w:r>
      <w:proofErr w:type="spellStart"/>
      <w:r w:rsidRPr="00047B1D">
        <w:rPr>
          <w:szCs w:val="36"/>
          <w:lang w:val="en-NZ"/>
        </w:rPr>
        <w:t>Waikino</w:t>
      </w:r>
      <w:proofErr w:type="spellEnd"/>
      <w:r w:rsidRPr="00047B1D">
        <w:rPr>
          <w:szCs w:val="36"/>
          <w:lang w:val="en-NZ"/>
        </w:rPr>
        <w:t xml:space="preserve"> and he left all his estate solely to CCS Disability Action Waikato which included five rural land properties. A subgroup of LEC and Local Advisory Committee members have been working on potential strategic projects that these funds could support and input from the members has been sought.</w:t>
      </w:r>
    </w:p>
    <w:p w14:paraId="162A5ED1" w14:textId="77777777" w:rsidR="00174C77" w:rsidRPr="00047B1D" w:rsidRDefault="00174C77" w:rsidP="00174C77">
      <w:pPr>
        <w:rPr>
          <w:szCs w:val="36"/>
          <w:lang w:val="en-NZ"/>
        </w:rPr>
      </w:pPr>
      <w:r w:rsidRPr="00047B1D">
        <w:rPr>
          <w:szCs w:val="36"/>
          <w:lang w:val="en-NZ"/>
        </w:rPr>
        <w:t xml:space="preserve">As approved at the AGM last year the funds held by Gemini Trust of $1,942,225 were transferred to the Momentum Foundation on 30 June 2023 who will oversee the investments on behalf of the branch under </w:t>
      </w:r>
      <w:r w:rsidRPr="00047B1D">
        <w:rPr>
          <w:szCs w:val="36"/>
          <w:lang w:val="en-NZ"/>
        </w:rPr>
        <w:lastRenderedPageBreak/>
        <w:t xml:space="preserve">an agreed service level agreement. Once the final set of accounts are audited the trust will be wound up. </w:t>
      </w:r>
    </w:p>
    <w:p w14:paraId="5B66B9A1" w14:textId="55172DDB" w:rsidR="00174C77" w:rsidRPr="00047B1D" w:rsidRDefault="00174C77" w:rsidP="00174C77">
      <w:pPr>
        <w:rPr>
          <w:szCs w:val="36"/>
          <w:lang w:val="en-NZ"/>
        </w:rPr>
      </w:pPr>
      <w:r w:rsidRPr="00047B1D">
        <w:rPr>
          <w:szCs w:val="36"/>
          <w:lang w:val="en-NZ"/>
        </w:rPr>
        <w:t xml:space="preserve">I would like to thank and acknowledge all the trustees of Gemini over the years of its existence and particularly Mairi Davis, Sam </w:t>
      </w:r>
      <w:proofErr w:type="spellStart"/>
      <w:r w:rsidRPr="00047B1D">
        <w:rPr>
          <w:szCs w:val="36"/>
          <w:lang w:val="en-NZ"/>
        </w:rPr>
        <w:t>Armstong</w:t>
      </w:r>
      <w:proofErr w:type="spellEnd"/>
      <w:r w:rsidRPr="00047B1D">
        <w:rPr>
          <w:szCs w:val="36"/>
          <w:lang w:val="en-NZ"/>
        </w:rPr>
        <w:t xml:space="preserve"> and Helen Paki for their stewardship of the trust in recent years and support with the transfer to Momentum. Income earnt by the trust funds is used to provide an annual grant back to the branch and scholarships for disabled students at Waikato University to a total value of $20,000.</w:t>
      </w:r>
    </w:p>
    <w:p w14:paraId="614DA766" w14:textId="77777777" w:rsidR="00174C77" w:rsidRPr="00047B1D" w:rsidRDefault="00174C77" w:rsidP="00900C04">
      <w:pPr>
        <w:pStyle w:val="Heading3"/>
        <w:rPr>
          <w:lang w:val="en-NZ"/>
        </w:rPr>
      </w:pPr>
      <w:r w:rsidRPr="00047B1D">
        <w:rPr>
          <w:lang w:val="en-NZ"/>
        </w:rPr>
        <w:t>Magical bridge playground</w:t>
      </w:r>
    </w:p>
    <w:p w14:paraId="7546FE67" w14:textId="4915C4EC" w:rsidR="00174C77" w:rsidRPr="00047B1D" w:rsidRDefault="00174C77" w:rsidP="00174C77">
      <w:pPr>
        <w:rPr>
          <w:szCs w:val="36"/>
          <w:lang w:val="en-NZ"/>
        </w:rPr>
      </w:pPr>
      <w:r w:rsidRPr="00047B1D">
        <w:rPr>
          <w:szCs w:val="36"/>
          <w:lang w:val="en-NZ"/>
        </w:rPr>
        <w:t>Prior to the transfer of the Gemini funds, the trustees approved a grant of $125,000 to match the CCS Disability Action Waikato branch grant of the same amount, to the Magical Bridge playground trust. They are developing a playground in partnership with the Hamilton City Council.</w:t>
      </w:r>
    </w:p>
    <w:p w14:paraId="0050DBA8" w14:textId="77777777" w:rsidR="00174C77" w:rsidRPr="00047B1D" w:rsidRDefault="00174C77" w:rsidP="00174C77">
      <w:pPr>
        <w:rPr>
          <w:szCs w:val="36"/>
          <w:lang w:val="en-NZ"/>
        </w:rPr>
      </w:pPr>
      <w:r w:rsidRPr="00047B1D">
        <w:rPr>
          <w:szCs w:val="36"/>
          <w:lang w:val="en-NZ"/>
        </w:rPr>
        <w:t xml:space="preserve">The playground design will take account of a diverse range of needs, including people with physical impairments, neurodiversity, learning disabilities as well </w:t>
      </w:r>
      <w:r w:rsidRPr="00047B1D">
        <w:rPr>
          <w:szCs w:val="36"/>
          <w:lang w:val="en-NZ"/>
        </w:rPr>
        <w:lastRenderedPageBreak/>
        <w:t xml:space="preserve">as visitors with hearing or visual impairments and is being constructed on the </w:t>
      </w:r>
      <w:proofErr w:type="spellStart"/>
      <w:r w:rsidRPr="00047B1D">
        <w:rPr>
          <w:szCs w:val="36"/>
          <w:lang w:val="en-NZ"/>
        </w:rPr>
        <w:t>Claudelands</w:t>
      </w:r>
      <w:proofErr w:type="spellEnd"/>
      <w:r w:rsidRPr="00047B1D">
        <w:rPr>
          <w:szCs w:val="36"/>
          <w:lang w:val="en-NZ"/>
        </w:rPr>
        <w:t xml:space="preserve"> Reserve in Hamilton. It is due to be opened in December in time for International Day of Persons with Disabilities.</w:t>
      </w:r>
    </w:p>
    <w:p w14:paraId="3907750D" w14:textId="77777777" w:rsidR="00174C77" w:rsidRPr="00047B1D" w:rsidRDefault="00174C77" w:rsidP="006D599F">
      <w:pPr>
        <w:pStyle w:val="Heading3"/>
        <w:rPr>
          <w:lang w:val="en-NZ"/>
        </w:rPr>
      </w:pPr>
      <w:r w:rsidRPr="00047B1D">
        <w:rPr>
          <w:lang w:val="en-NZ"/>
        </w:rPr>
        <w:t>Financial results</w:t>
      </w:r>
    </w:p>
    <w:p w14:paraId="6E225654" w14:textId="77777777" w:rsidR="00174C77" w:rsidRPr="00047B1D" w:rsidRDefault="00174C77" w:rsidP="00174C77">
      <w:pPr>
        <w:rPr>
          <w:szCs w:val="36"/>
          <w:lang w:val="en-NZ"/>
        </w:rPr>
      </w:pPr>
      <w:r w:rsidRPr="00047B1D">
        <w:rPr>
          <w:szCs w:val="36"/>
          <w:lang w:val="en-NZ"/>
        </w:rPr>
        <w:t>Accounting for the George bequest, the capital grant to the Magical bridge trust and the favourable investment fund unrealised returns the branch had a surplus of $7,145,507 from non-operational activity. The total net surplus for the year was $7,069,567.</w:t>
      </w:r>
    </w:p>
    <w:p w14:paraId="3656BE3E" w14:textId="77777777" w:rsidR="00174C77" w:rsidRPr="00047B1D" w:rsidRDefault="00174C77" w:rsidP="00174C77">
      <w:pPr>
        <w:rPr>
          <w:szCs w:val="36"/>
          <w:lang w:val="en-NZ"/>
        </w:rPr>
      </w:pPr>
      <w:r w:rsidRPr="00047B1D">
        <w:rPr>
          <w:szCs w:val="36"/>
          <w:lang w:val="en-NZ"/>
        </w:rPr>
        <w:t>Our net asset balance increased to $14.6m million, up from $7.5m last year primarily due to the George estate bequest.</w:t>
      </w:r>
    </w:p>
    <w:p w14:paraId="38CD0F64" w14:textId="77777777" w:rsidR="00174C77" w:rsidRPr="00047B1D" w:rsidRDefault="00174C77" w:rsidP="00E94694">
      <w:pPr>
        <w:pStyle w:val="Heading3"/>
        <w:rPr>
          <w:lang w:val="en-NZ"/>
        </w:rPr>
      </w:pPr>
      <w:r w:rsidRPr="00047B1D">
        <w:rPr>
          <w:lang w:val="en-NZ"/>
        </w:rPr>
        <w:t>Acknowledgements</w:t>
      </w:r>
    </w:p>
    <w:p w14:paraId="2DD43204" w14:textId="77777777" w:rsidR="00174C77" w:rsidRPr="00047B1D" w:rsidRDefault="00174C77" w:rsidP="00174C77">
      <w:pPr>
        <w:rPr>
          <w:szCs w:val="36"/>
          <w:lang w:val="en-NZ"/>
        </w:rPr>
      </w:pPr>
      <w:r w:rsidRPr="00047B1D">
        <w:rPr>
          <w:szCs w:val="36"/>
          <w:lang w:val="en-NZ"/>
        </w:rPr>
        <w:t>We wish to thank our supporters and donors. We rely on donations and bequests to remain financially viable, and to progress our longer-term plans for positive change for our community.</w:t>
      </w:r>
    </w:p>
    <w:p w14:paraId="408F9041" w14:textId="77777777" w:rsidR="00174C77" w:rsidRPr="00047B1D" w:rsidRDefault="00174C77" w:rsidP="00174C77">
      <w:pPr>
        <w:rPr>
          <w:szCs w:val="36"/>
          <w:lang w:val="en-NZ"/>
        </w:rPr>
      </w:pPr>
      <w:r w:rsidRPr="00047B1D">
        <w:rPr>
          <w:szCs w:val="36"/>
          <w:lang w:val="en-NZ"/>
        </w:rPr>
        <w:lastRenderedPageBreak/>
        <w:t xml:space="preserve">I would also like to specifically thank and acknowledge the support and guidance </w:t>
      </w:r>
      <w:proofErr w:type="spellStart"/>
      <w:r w:rsidRPr="00047B1D">
        <w:rPr>
          <w:szCs w:val="36"/>
          <w:lang w:val="en-NZ"/>
        </w:rPr>
        <w:t>Jahron</w:t>
      </w:r>
      <w:proofErr w:type="spellEnd"/>
      <w:r w:rsidRPr="00047B1D">
        <w:rPr>
          <w:szCs w:val="36"/>
          <w:lang w:val="en-NZ"/>
        </w:rPr>
        <w:t xml:space="preserve"> Neha has given the branch over the last five years as Chair, which has been invaluable. </w:t>
      </w:r>
      <w:proofErr w:type="spellStart"/>
      <w:r w:rsidRPr="00047B1D">
        <w:rPr>
          <w:szCs w:val="36"/>
          <w:lang w:val="en-NZ"/>
        </w:rPr>
        <w:t>Jahron</w:t>
      </w:r>
      <w:proofErr w:type="spellEnd"/>
      <w:r w:rsidRPr="00047B1D">
        <w:rPr>
          <w:szCs w:val="36"/>
          <w:lang w:val="en-NZ"/>
        </w:rPr>
        <w:t xml:space="preserve"> resigned from the LEC in October 2022 due to a move to Taranaki for work. We wish him and his family all the best for the future.</w:t>
      </w:r>
    </w:p>
    <w:p w14:paraId="375D359C" w14:textId="5E9DEE6B" w:rsidR="00174C77" w:rsidRPr="006756B8" w:rsidRDefault="00174C77" w:rsidP="00174C77">
      <w:pPr>
        <w:rPr>
          <w:b/>
          <w:bCs/>
          <w:szCs w:val="36"/>
          <w:lang w:val="mi-NZ"/>
        </w:rPr>
      </w:pPr>
      <w:r w:rsidRPr="006756B8">
        <w:rPr>
          <w:b/>
          <w:bCs/>
          <w:szCs w:val="36"/>
          <w:lang w:val="mi-NZ"/>
        </w:rPr>
        <w:t>Ngā mihi.</w:t>
      </w:r>
    </w:p>
    <w:p w14:paraId="1FA63C0D" w14:textId="0888E3BC" w:rsidR="00A86D9D" w:rsidRPr="00A86D9D" w:rsidRDefault="00174C77" w:rsidP="00174C77">
      <w:pPr>
        <w:rPr>
          <w:szCs w:val="36"/>
          <w:lang w:val="en-NZ"/>
        </w:rPr>
      </w:pPr>
      <w:r w:rsidRPr="006756B8">
        <w:rPr>
          <w:sz w:val="40"/>
          <w:szCs w:val="40"/>
          <w:lang w:val="en-NZ"/>
        </w:rPr>
        <w:t>“This last year has continued to be challenging with Covid-19 continuing to impact the way we do things for most of the year, and inflationary pressures resulting in a cost-of-living crisis that adversely hit our disabled communities the hardest.”</w:t>
      </w:r>
    </w:p>
    <w:p w14:paraId="06954B03" w14:textId="77777777" w:rsidR="00A86D9D" w:rsidRPr="00A86D9D" w:rsidRDefault="00A86D9D">
      <w:pPr>
        <w:spacing w:before="0" w:after="0" w:line="240" w:lineRule="auto"/>
        <w:rPr>
          <w:szCs w:val="36"/>
          <w:lang w:val="en-NZ"/>
        </w:rPr>
      </w:pPr>
      <w:r w:rsidRPr="00A86D9D">
        <w:rPr>
          <w:szCs w:val="36"/>
          <w:lang w:val="en-NZ"/>
        </w:rPr>
        <w:br w:type="page"/>
      </w:r>
    </w:p>
    <w:p w14:paraId="77FF23A6" w14:textId="42836B4E" w:rsidR="004E1C4D" w:rsidRPr="00962011" w:rsidRDefault="00174C77" w:rsidP="000C60FE">
      <w:pPr>
        <w:pStyle w:val="Heading1"/>
        <w:rPr>
          <w:lang w:val="en-NZ"/>
        </w:rPr>
      </w:pPr>
      <w:bookmarkStart w:id="13" w:name="_Toc156473604"/>
      <w:bookmarkStart w:id="14" w:name="_Toc157079885"/>
      <w:r>
        <w:rPr>
          <w:lang w:val="en-NZ"/>
        </w:rPr>
        <w:lastRenderedPageBreak/>
        <w:t>Lexy</w:t>
      </w:r>
      <w:r w:rsidR="00734AF2" w:rsidRPr="00962011">
        <w:rPr>
          <w:lang w:val="en-NZ"/>
        </w:rPr>
        <w:t>’s story</w:t>
      </w:r>
      <w:bookmarkEnd w:id="13"/>
      <w:bookmarkEnd w:id="14"/>
    </w:p>
    <w:p w14:paraId="5D79D714" w14:textId="0C713316" w:rsidR="00734AF2" w:rsidRPr="00EE76A5" w:rsidRDefault="00174C77" w:rsidP="00902710">
      <w:pPr>
        <w:rPr>
          <w:sz w:val="40"/>
          <w:szCs w:val="40"/>
          <w:lang w:val="en-NZ"/>
        </w:rPr>
      </w:pPr>
      <w:r w:rsidRPr="00174C77">
        <w:rPr>
          <w:sz w:val="40"/>
          <w:szCs w:val="40"/>
          <w:lang w:val="en-NZ"/>
        </w:rPr>
        <w:t>“She amazes me every day. Some of that is her and who she is, and some of that is down to the team of people around her. It’s so rewarding watching her grow.</w:t>
      </w:r>
    </w:p>
    <w:p w14:paraId="52F9B482" w14:textId="2B3A3EF6" w:rsidR="00174C77" w:rsidRPr="00070247" w:rsidRDefault="00174C77" w:rsidP="00734AF2">
      <w:pPr>
        <w:rPr>
          <w:b/>
          <w:bCs/>
          <w:lang w:val="en-NZ"/>
        </w:rPr>
      </w:pPr>
      <w:r w:rsidRPr="00070247">
        <w:rPr>
          <w:b/>
          <w:bCs/>
          <w:lang w:val="en-NZ"/>
        </w:rPr>
        <w:t>– Maree.</w:t>
      </w:r>
    </w:p>
    <w:p w14:paraId="7282AE1C" w14:textId="77777777" w:rsidR="00174C77" w:rsidRPr="00174C77" w:rsidRDefault="00174C77" w:rsidP="00174C77">
      <w:pPr>
        <w:rPr>
          <w:lang w:val="en-NZ"/>
        </w:rPr>
      </w:pPr>
      <w:r w:rsidRPr="00A86D9D">
        <w:rPr>
          <w:lang w:val="mi-NZ"/>
        </w:rPr>
        <w:t>Te Aroha</w:t>
      </w:r>
      <w:r w:rsidRPr="00174C77">
        <w:rPr>
          <w:lang w:val="en-NZ"/>
        </w:rPr>
        <w:t>-based Maree and Dave could best be described as ‘salt of the earth’.</w:t>
      </w:r>
    </w:p>
    <w:p w14:paraId="748E3556" w14:textId="331919B9" w:rsidR="00174C77" w:rsidRDefault="00174C77" w:rsidP="00174C77">
      <w:pPr>
        <w:rPr>
          <w:lang w:val="en-NZ"/>
        </w:rPr>
      </w:pPr>
      <w:r w:rsidRPr="00174C77">
        <w:rPr>
          <w:lang w:val="en-NZ"/>
        </w:rPr>
        <w:t>The kind and generous couple, who have a blended family with their own adult children, have opened their home to many children in need over the years, mostly on a short-term basis.</w:t>
      </w:r>
    </w:p>
    <w:p w14:paraId="7197DE4F" w14:textId="77777777" w:rsidR="00174C77" w:rsidRPr="00174C77" w:rsidRDefault="00174C77" w:rsidP="00174C77">
      <w:pPr>
        <w:rPr>
          <w:lang w:val="en-NZ"/>
        </w:rPr>
      </w:pPr>
      <w:r w:rsidRPr="00174C77">
        <w:rPr>
          <w:lang w:val="en-NZ"/>
        </w:rPr>
        <w:t>Maree was inspired by her previous work as a respite carer for another disability support provider, where she cared for kids who needed somewhere to go for weekends or short holidays.</w:t>
      </w:r>
    </w:p>
    <w:p w14:paraId="6A387781" w14:textId="77777777" w:rsidR="00174C77" w:rsidRPr="00174C77" w:rsidRDefault="00174C77" w:rsidP="00174C77">
      <w:pPr>
        <w:rPr>
          <w:lang w:val="en-NZ"/>
        </w:rPr>
      </w:pPr>
      <w:r w:rsidRPr="00174C77">
        <w:rPr>
          <w:lang w:val="en-NZ"/>
        </w:rPr>
        <w:lastRenderedPageBreak/>
        <w:t>Eventually they received a call about a 15-month-old toddler called Lexy. Lexy is now 12 and they consider her “their girl,” says Maree.</w:t>
      </w:r>
    </w:p>
    <w:p w14:paraId="134D84FB" w14:textId="77777777" w:rsidR="00174C77" w:rsidRPr="00174C77" w:rsidRDefault="00174C77" w:rsidP="00174C77">
      <w:pPr>
        <w:rPr>
          <w:lang w:val="en-NZ"/>
        </w:rPr>
      </w:pPr>
      <w:r w:rsidRPr="00174C77">
        <w:rPr>
          <w:lang w:val="en-NZ"/>
        </w:rPr>
        <w:t xml:space="preserve">It is immediately clear how much love is in Lexy’s life. </w:t>
      </w:r>
      <w:r w:rsidRPr="00CA30D4">
        <w:rPr>
          <w:b/>
          <w:bCs/>
          <w:lang w:val="en-NZ"/>
        </w:rPr>
        <w:t>“She’s a complete social butterfly. At school – which she loves – she likes to walk through all the classes and give everyone a big wave. She just brings so much love and laughter into our home. She’s a joy to have in our lives,”</w:t>
      </w:r>
      <w:r w:rsidRPr="00174C77">
        <w:rPr>
          <w:lang w:val="en-NZ"/>
        </w:rPr>
        <w:t xml:space="preserve"> says Maree.</w:t>
      </w:r>
    </w:p>
    <w:p w14:paraId="1FF340FD" w14:textId="77777777" w:rsidR="00174C77" w:rsidRPr="00174C77" w:rsidRDefault="00174C77" w:rsidP="00174C77">
      <w:pPr>
        <w:rPr>
          <w:lang w:val="en-NZ"/>
        </w:rPr>
      </w:pPr>
      <w:r w:rsidRPr="00174C77">
        <w:rPr>
          <w:lang w:val="en-NZ"/>
        </w:rPr>
        <w:t>Lexy has a wide range of support needs, as she lives with physical, learning, and neurological impairments.</w:t>
      </w:r>
    </w:p>
    <w:p w14:paraId="5210FF67" w14:textId="77777777" w:rsidR="00174C77" w:rsidRPr="00174C77" w:rsidRDefault="00174C77" w:rsidP="00174C77">
      <w:pPr>
        <w:rPr>
          <w:lang w:val="en-NZ"/>
        </w:rPr>
      </w:pPr>
      <w:r w:rsidRPr="00174C77">
        <w:rPr>
          <w:lang w:val="en-NZ"/>
        </w:rPr>
        <w:t xml:space="preserve">Maree doesn’t shy away from the fact that providing her with care is demanding, particularly as Lexy is a very curious person and likes to be busy. </w:t>
      </w:r>
      <w:r w:rsidRPr="00CA30D4">
        <w:rPr>
          <w:b/>
          <w:bCs/>
          <w:lang w:val="en-NZ"/>
        </w:rPr>
        <w:t>“She does need one-on-one support almost all the time. She certainly gets us out of bed in the morning and often has us running to keep up with her,”</w:t>
      </w:r>
      <w:r w:rsidRPr="00174C77">
        <w:rPr>
          <w:lang w:val="en-NZ"/>
        </w:rPr>
        <w:t xml:space="preserve"> she explains.</w:t>
      </w:r>
    </w:p>
    <w:p w14:paraId="7122F5EC" w14:textId="77777777" w:rsidR="00174C77" w:rsidRPr="00174C77" w:rsidRDefault="00174C77" w:rsidP="00174C77">
      <w:pPr>
        <w:rPr>
          <w:lang w:val="en-NZ"/>
        </w:rPr>
      </w:pPr>
      <w:r w:rsidRPr="00174C77">
        <w:rPr>
          <w:lang w:val="en-NZ"/>
        </w:rPr>
        <w:t xml:space="preserve">The family is supported by CCS Disability Action’s Waikato branch. They have had several team members in their lives and most recently began working with Zoe </w:t>
      </w:r>
      <w:r w:rsidRPr="00174C77">
        <w:rPr>
          <w:lang w:val="en-NZ"/>
        </w:rPr>
        <w:lastRenderedPageBreak/>
        <w:t xml:space="preserve">Swartz. Maree describes the team as “brilliant” but jokes that she’s keen to keep Zoe on for a while. </w:t>
      </w:r>
      <w:r w:rsidRPr="00CA30D4">
        <w:rPr>
          <w:b/>
          <w:bCs/>
          <w:lang w:val="en-NZ"/>
        </w:rPr>
        <w:t>“It takes me a bit of work to train these girls, you know,”</w:t>
      </w:r>
      <w:r w:rsidRPr="00174C77">
        <w:rPr>
          <w:lang w:val="en-NZ"/>
        </w:rPr>
        <w:t xml:space="preserve"> she says with a laugh.</w:t>
      </w:r>
    </w:p>
    <w:p w14:paraId="64FCA379" w14:textId="2FE79F05" w:rsidR="00174C77" w:rsidRDefault="00174C77" w:rsidP="00174C77">
      <w:pPr>
        <w:rPr>
          <w:lang w:val="en-NZ"/>
        </w:rPr>
      </w:pPr>
      <w:r w:rsidRPr="00174C77">
        <w:rPr>
          <w:lang w:val="en-NZ"/>
        </w:rPr>
        <w:t>Lexy mostly uses gesture and body language to communicate. Most recently Maree and Dave have begun to use visual cue cards to tie into the strategies they are also using at school – a relationship that Maree describes as strong. With support of a Speech-Language therapist, they’ve also introduced a communication button which supports Lexy to have good self-determination and tell them what she wants.</w:t>
      </w:r>
    </w:p>
    <w:p w14:paraId="7FB928A7" w14:textId="77777777" w:rsidR="00174C77" w:rsidRPr="00174C77" w:rsidRDefault="00174C77" w:rsidP="00174C77">
      <w:pPr>
        <w:rPr>
          <w:lang w:val="en-NZ"/>
        </w:rPr>
      </w:pPr>
      <w:r w:rsidRPr="00174C77">
        <w:rPr>
          <w:lang w:val="en-NZ"/>
        </w:rPr>
        <w:t>Zoe’s role has been to get behind the family with whatever they need, and she has loved getting to know them.</w:t>
      </w:r>
    </w:p>
    <w:p w14:paraId="7D598F3E" w14:textId="77777777" w:rsidR="00174C77" w:rsidRPr="00174C77" w:rsidRDefault="00174C77" w:rsidP="00174C77">
      <w:pPr>
        <w:rPr>
          <w:lang w:val="en-NZ"/>
        </w:rPr>
      </w:pPr>
      <w:r w:rsidRPr="00CA30D4">
        <w:rPr>
          <w:b/>
          <w:bCs/>
          <w:lang w:val="en-NZ"/>
        </w:rPr>
        <w:t>“Lexy lights up a room. She’s so charismatic, engaging, and energetic. She’s very good at getting her point across – you’re never left wondering what she’s thinking!”</w:t>
      </w:r>
      <w:r w:rsidRPr="00174C77">
        <w:rPr>
          <w:lang w:val="en-NZ"/>
        </w:rPr>
        <w:t xml:space="preserve"> says Zoe.</w:t>
      </w:r>
    </w:p>
    <w:p w14:paraId="6FD93209" w14:textId="77777777" w:rsidR="00174C77" w:rsidRPr="00174C77" w:rsidRDefault="00174C77" w:rsidP="00174C77">
      <w:pPr>
        <w:rPr>
          <w:lang w:val="en-NZ"/>
        </w:rPr>
      </w:pPr>
      <w:r w:rsidRPr="00174C77">
        <w:rPr>
          <w:lang w:val="en-NZ"/>
        </w:rPr>
        <w:lastRenderedPageBreak/>
        <w:t xml:space="preserve">Her work with the family is wide-ranging and largely involves behind-the-scenes support, guided by Maree and Dave. Specific examples include assisting Maree and Dave to track their support allocations and budget, dealing with invoicing queries related to her care, and working with </w:t>
      </w:r>
      <w:r w:rsidRPr="0021355E">
        <w:rPr>
          <w:lang w:val="mi-NZ"/>
        </w:rPr>
        <w:t>Oranga Tamariki</w:t>
      </w:r>
      <w:r w:rsidRPr="00174C77">
        <w:rPr>
          <w:lang w:val="en-NZ"/>
        </w:rPr>
        <w:t xml:space="preserve"> and the local Needs Assessment and Service Coordination (NASC) agency when the family needs something different. She also has regular catchups with the family to simply lend a friendly ear.</w:t>
      </w:r>
    </w:p>
    <w:p w14:paraId="7A616E7D" w14:textId="77777777" w:rsidR="00174C77" w:rsidRPr="00174C77" w:rsidRDefault="00174C77" w:rsidP="00174C77">
      <w:pPr>
        <w:rPr>
          <w:lang w:val="en-NZ"/>
        </w:rPr>
      </w:pPr>
      <w:r w:rsidRPr="0021355E">
        <w:rPr>
          <w:b/>
          <w:bCs/>
          <w:lang w:val="en-NZ"/>
        </w:rPr>
        <w:t xml:space="preserve">“Maree and Dave are awesome, and they are incredible advocates for Lexy. They are so dedicated to Lexy and so attentive to her needs and are constantly working to get the best for her. My goal is to try to free them up so they can do what they do best – provide Lexy with a loving home,” </w:t>
      </w:r>
      <w:r w:rsidRPr="00174C77">
        <w:rPr>
          <w:lang w:val="en-NZ"/>
        </w:rPr>
        <w:t>says Zoe.</w:t>
      </w:r>
    </w:p>
    <w:p w14:paraId="72FFCFC1" w14:textId="796D3FA5" w:rsidR="00174C77" w:rsidRPr="00174C77" w:rsidRDefault="00174C77" w:rsidP="00174C77">
      <w:pPr>
        <w:rPr>
          <w:lang w:val="en-NZ"/>
        </w:rPr>
      </w:pPr>
      <w:r w:rsidRPr="00174C77">
        <w:rPr>
          <w:lang w:val="en-NZ"/>
        </w:rPr>
        <w:t xml:space="preserve">Maree and Dave have established and kept a strong relationship with Lexy’s birth family. </w:t>
      </w:r>
      <w:r w:rsidRPr="0021355E">
        <w:rPr>
          <w:b/>
          <w:bCs/>
          <w:lang w:val="en-NZ"/>
        </w:rPr>
        <w:t xml:space="preserve">“I am mama, Dave is </w:t>
      </w:r>
      <w:proofErr w:type="spellStart"/>
      <w:r w:rsidRPr="0021355E">
        <w:rPr>
          <w:b/>
          <w:bCs/>
          <w:lang w:val="en-NZ"/>
        </w:rPr>
        <w:t>dede</w:t>
      </w:r>
      <w:proofErr w:type="spellEnd"/>
      <w:r w:rsidRPr="0021355E">
        <w:rPr>
          <w:b/>
          <w:bCs/>
          <w:lang w:val="en-NZ"/>
        </w:rPr>
        <w:t xml:space="preserve"> and her mum and dad are always mummy and daddy. We get on really well with them and they’ve joined us for</w:t>
      </w:r>
      <w:r w:rsidR="0021355E" w:rsidRPr="0021355E">
        <w:rPr>
          <w:b/>
          <w:bCs/>
          <w:lang w:val="en-NZ"/>
        </w:rPr>
        <w:t xml:space="preserve"> </w:t>
      </w:r>
      <w:r w:rsidRPr="0021355E">
        <w:rPr>
          <w:b/>
          <w:bCs/>
          <w:lang w:val="en-NZ"/>
        </w:rPr>
        <w:t xml:space="preserve">celebrations like birthdays, and </w:t>
      </w:r>
      <w:r w:rsidRPr="0021355E">
        <w:rPr>
          <w:b/>
          <w:bCs/>
          <w:lang w:val="en-NZ"/>
        </w:rPr>
        <w:lastRenderedPageBreak/>
        <w:t>vice versa.”</w:t>
      </w:r>
      <w:r w:rsidRPr="00174C77">
        <w:rPr>
          <w:lang w:val="en-NZ"/>
        </w:rPr>
        <w:t xml:space="preserve"> Lexy has regular one-on-one visits with her whānau, allowing her to spend precious time with her birth parents, brothers, and sisters. Maree also regularly shares videos and photos.</w:t>
      </w:r>
    </w:p>
    <w:p w14:paraId="5AD20996" w14:textId="77777777" w:rsidR="00174C77" w:rsidRPr="00174C77" w:rsidRDefault="00174C77" w:rsidP="00174C77">
      <w:pPr>
        <w:rPr>
          <w:lang w:val="en-NZ"/>
        </w:rPr>
      </w:pPr>
      <w:r w:rsidRPr="00174C77">
        <w:rPr>
          <w:lang w:val="en-NZ"/>
        </w:rPr>
        <w:t>One of the biggest challenges the family face is the lack of respite carers in the region. It’s been an ongoing issue and it does make getting a much-needed break very hard.</w:t>
      </w:r>
    </w:p>
    <w:p w14:paraId="46C69DAD" w14:textId="317D115F" w:rsidR="00174C77" w:rsidRPr="00174C77" w:rsidRDefault="00174C77" w:rsidP="00174C77">
      <w:pPr>
        <w:rPr>
          <w:lang w:val="en-NZ"/>
        </w:rPr>
      </w:pPr>
      <w:r w:rsidRPr="00C8389A">
        <w:rPr>
          <w:b/>
          <w:bCs/>
          <w:lang w:val="en-NZ"/>
        </w:rPr>
        <w:t xml:space="preserve">“While we have managed to secure a small amount of respite though the CCS Disability Action respite service at </w:t>
      </w:r>
      <w:r w:rsidRPr="00C8389A">
        <w:rPr>
          <w:b/>
          <w:bCs/>
          <w:lang w:val="mi-NZ"/>
        </w:rPr>
        <w:t>Te Whare Poipoi,</w:t>
      </w:r>
      <w:r w:rsidRPr="00C8389A">
        <w:rPr>
          <w:b/>
          <w:bCs/>
          <w:lang w:val="en-NZ"/>
        </w:rPr>
        <w:t xml:space="preserve"> it’s not enough. We have tried everything to recruit new carers, but it’s hard to get the right people to put their hand up,”</w:t>
      </w:r>
      <w:r w:rsidRPr="00174C77">
        <w:rPr>
          <w:lang w:val="en-NZ"/>
        </w:rPr>
        <w:t xml:space="preserve"> explains Zoe.</w:t>
      </w:r>
    </w:p>
    <w:p w14:paraId="4C9BDC0D" w14:textId="77777777" w:rsidR="00174C77" w:rsidRPr="00174C77" w:rsidRDefault="00174C77" w:rsidP="00174C77">
      <w:pPr>
        <w:rPr>
          <w:lang w:val="en-NZ"/>
        </w:rPr>
      </w:pPr>
      <w:r w:rsidRPr="00174C77">
        <w:rPr>
          <w:lang w:val="en-NZ"/>
        </w:rPr>
        <w:t>While not able to fully address this gap for now, Maree, with Zoe’s support, recently organised the purchase of a new trike for Lexy. The trike allows Lexy to join Maree and Dave on bike trips, something that’s important for the outdoorsy pair.</w:t>
      </w:r>
    </w:p>
    <w:p w14:paraId="1255AF46" w14:textId="77777777" w:rsidR="00174C77" w:rsidRPr="00174C77" w:rsidRDefault="00174C77" w:rsidP="00174C77">
      <w:pPr>
        <w:rPr>
          <w:lang w:val="en-NZ"/>
        </w:rPr>
      </w:pPr>
      <w:r w:rsidRPr="00C8389A">
        <w:rPr>
          <w:b/>
          <w:bCs/>
          <w:lang w:val="en-NZ"/>
        </w:rPr>
        <w:lastRenderedPageBreak/>
        <w:t>“Lexy has a bike, but she’s finding pedalling too hard, and we wanted her to be able to enjoy the outdoors with us as a family,”</w:t>
      </w:r>
      <w:r w:rsidRPr="00174C77">
        <w:rPr>
          <w:lang w:val="en-NZ"/>
        </w:rPr>
        <w:t xml:space="preserve"> explains Maree. </w:t>
      </w:r>
    </w:p>
    <w:p w14:paraId="7C31CE04" w14:textId="77777777" w:rsidR="00174C77" w:rsidRPr="00174C77" w:rsidRDefault="00174C77" w:rsidP="00174C77">
      <w:pPr>
        <w:rPr>
          <w:lang w:val="en-NZ"/>
        </w:rPr>
      </w:pPr>
      <w:r w:rsidRPr="00174C77">
        <w:rPr>
          <w:lang w:val="en-NZ"/>
        </w:rPr>
        <w:t xml:space="preserve">Her first test run provided entertainment for more than just them due to her distinct lack of steering ability. </w:t>
      </w:r>
      <w:r w:rsidRPr="00C8389A">
        <w:rPr>
          <w:b/>
          <w:bCs/>
          <w:lang w:val="en-NZ"/>
        </w:rPr>
        <w:t>“Lexy was haring down the driveway, laughing her head off. She thought she was the bees’ knees! And here I was, running to keep up with her, trying to stop her from crashing! Half the neighbours came out for a laugh, they thought it was hilarious,”</w:t>
      </w:r>
      <w:r w:rsidRPr="00174C77">
        <w:rPr>
          <w:lang w:val="en-NZ"/>
        </w:rPr>
        <w:t xml:space="preserve"> says Maree.</w:t>
      </w:r>
    </w:p>
    <w:p w14:paraId="6FC37D58" w14:textId="289DF21B" w:rsidR="00174C77" w:rsidRPr="00174C77" w:rsidRDefault="00174C77" w:rsidP="00174C77">
      <w:pPr>
        <w:rPr>
          <w:lang w:val="en-NZ"/>
        </w:rPr>
      </w:pPr>
      <w:r w:rsidRPr="00174C77">
        <w:rPr>
          <w:lang w:val="en-NZ"/>
        </w:rPr>
        <w:t xml:space="preserve">Her slightly dodgy steering skills notwithstanding, riding a </w:t>
      </w:r>
      <w:proofErr w:type="spellStart"/>
      <w:r w:rsidRPr="00174C77">
        <w:rPr>
          <w:lang w:val="en-NZ"/>
        </w:rPr>
        <w:t>trike</w:t>
      </w:r>
      <w:proofErr w:type="spellEnd"/>
      <w:r w:rsidRPr="00174C77">
        <w:rPr>
          <w:lang w:val="en-NZ"/>
        </w:rPr>
        <w:t xml:space="preserve"> is indicative of one of the many challenges Lexy has overcome. When they took over her care, Maree and Dave were told that she would never walk. </w:t>
      </w:r>
      <w:r w:rsidRPr="00C340A3">
        <w:rPr>
          <w:b/>
          <w:bCs/>
          <w:lang w:val="en-NZ"/>
        </w:rPr>
        <w:t>“And look at her now! She’s running!”</w:t>
      </w:r>
      <w:r w:rsidRPr="00174C77">
        <w:rPr>
          <w:lang w:val="en-NZ"/>
        </w:rPr>
        <w:t xml:space="preserve"> says Maree. </w:t>
      </w:r>
      <w:r w:rsidRPr="00C340A3">
        <w:rPr>
          <w:b/>
          <w:bCs/>
          <w:lang w:val="en-NZ"/>
        </w:rPr>
        <w:t>“She amazes me every day. Some of that is her and who she is, and some of that is down to the team of people around her. It’s so rewarding watching her grow.”</w:t>
      </w:r>
    </w:p>
    <w:p w14:paraId="4457E5F3" w14:textId="28DF93D0" w:rsidR="00174C77" w:rsidRDefault="00174C77" w:rsidP="00174C77">
      <w:pPr>
        <w:rPr>
          <w:lang w:val="en-NZ"/>
        </w:rPr>
      </w:pPr>
      <w:r w:rsidRPr="00174C77">
        <w:rPr>
          <w:lang w:val="en-NZ"/>
        </w:rPr>
        <w:lastRenderedPageBreak/>
        <w:t>It’s a lovely example of Maree and Dave’s relationship with Lexy. A bit of fun and a whole lot of love for their high energy girl – and Lexy loving every minute of it. And no-one could ask for any more than that.</w:t>
      </w:r>
    </w:p>
    <w:p w14:paraId="7136F6AD" w14:textId="07DEB419" w:rsidR="0063395E" w:rsidRDefault="00734AF2" w:rsidP="00AF5AF6">
      <w:pPr>
        <w:pStyle w:val="H2Maori"/>
      </w:pPr>
      <w:r w:rsidRPr="00C954E9">
        <w:t>Te maha o ngā tangata i tautokohia e mātou</w:t>
      </w:r>
    </w:p>
    <w:p w14:paraId="2C9561C3" w14:textId="3007C899"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96375D" w:rsidRPr="0096375D">
        <w:rPr>
          <w:lang w:val="en-NZ"/>
        </w:rPr>
        <w:t>Waikato</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5" w:name="ColumnTitle_1"/>
            <w:bookmarkEnd w:id="15"/>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4B4557EC" w:rsidR="00321930" w:rsidRDefault="00321930" w:rsidP="00321930">
            <w:pPr>
              <w:spacing w:before="180" w:after="180"/>
              <w:rPr>
                <w:lang w:val="en-NZ"/>
              </w:rPr>
            </w:pPr>
            <w:r w:rsidRPr="00C954E9">
              <w:rPr>
                <w:lang w:val="en-NZ"/>
              </w:rPr>
              <w:t xml:space="preserve">Last year </w:t>
            </w:r>
            <w:r w:rsidR="0096375D" w:rsidRPr="0096375D">
              <w:rPr>
                <w:b/>
                <w:bCs/>
                <w:lang w:val="en-NZ"/>
              </w:rPr>
              <w:t>397</w:t>
            </w:r>
          </w:p>
        </w:tc>
        <w:tc>
          <w:tcPr>
            <w:tcW w:w="4498" w:type="dxa"/>
            <w:shd w:val="clear" w:color="auto" w:fill="auto"/>
          </w:tcPr>
          <w:p w14:paraId="0B7FE359" w14:textId="67F1F6C8" w:rsidR="00321930" w:rsidRDefault="00321930" w:rsidP="00321930">
            <w:pPr>
              <w:spacing w:before="180" w:after="180"/>
              <w:rPr>
                <w:lang w:val="en-NZ"/>
              </w:rPr>
            </w:pPr>
            <w:r w:rsidRPr="00962011">
              <w:rPr>
                <w:lang w:val="en-NZ"/>
              </w:rPr>
              <w:t xml:space="preserve">This year </w:t>
            </w:r>
            <w:r w:rsidR="0096375D" w:rsidRPr="0096375D">
              <w:rPr>
                <w:b/>
                <w:bCs/>
                <w:lang w:val="en-NZ"/>
              </w:rPr>
              <w:t>383</w:t>
            </w:r>
          </w:p>
        </w:tc>
      </w:tr>
      <w:tr w:rsidR="00321930" w14:paraId="2389CE56" w14:textId="77777777" w:rsidTr="00321930">
        <w:trPr>
          <w:cantSplit/>
        </w:trPr>
        <w:tc>
          <w:tcPr>
            <w:tcW w:w="4498" w:type="dxa"/>
            <w:shd w:val="clear" w:color="auto" w:fill="auto"/>
          </w:tcPr>
          <w:p w14:paraId="2056329B" w14:textId="523E1B63" w:rsidR="00321930" w:rsidRDefault="00321930" w:rsidP="00D3425C">
            <w:pPr>
              <w:spacing w:before="180" w:after="180"/>
              <w:rPr>
                <w:lang w:val="en-NZ"/>
              </w:rPr>
            </w:pPr>
            <w:r w:rsidRPr="00321930">
              <w:rPr>
                <w:lang w:val="en-NZ"/>
              </w:rPr>
              <w:t xml:space="preserve">&lt;17 years of age </w:t>
            </w:r>
            <w:r w:rsidR="0096375D" w:rsidRPr="0096375D">
              <w:rPr>
                <w:b/>
                <w:bCs/>
                <w:lang w:val="en-NZ"/>
              </w:rPr>
              <w:t>200</w:t>
            </w:r>
          </w:p>
        </w:tc>
        <w:tc>
          <w:tcPr>
            <w:tcW w:w="4498" w:type="dxa"/>
            <w:shd w:val="clear" w:color="auto" w:fill="auto"/>
          </w:tcPr>
          <w:p w14:paraId="25E028CC" w14:textId="5F8D5879" w:rsidR="00321930" w:rsidRDefault="00321930" w:rsidP="00321930">
            <w:pPr>
              <w:spacing w:before="180" w:after="180"/>
              <w:rPr>
                <w:lang w:val="en-NZ"/>
              </w:rPr>
            </w:pPr>
            <w:r w:rsidRPr="00962011">
              <w:rPr>
                <w:lang w:val="en-NZ"/>
              </w:rPr>
              <w:t xml:space="preserve">&lt;17 years of age </w:t>
            </w:r>
            <w:r w:rsidR="0096375D" w:rsidRPr="0096375D">
              <w:rPr>
                <w:b/>
                <w:bCs/>
                <w:lang w:val="en-NZ"/>
              </w:rPr>
              <w:t>209</w:t>
            </w:r>
          </w:p>
        </w:tc>
      </w:tr>
      <w:tr w:rsidR="00321930" w14:paraId="4C1891A2" w14:textId="77777777" w:rsidTr="00321930">
        <w:trPr>
          <w:cantSplit/>
        </w:trPr>
        <w:tc>
          <w:tcPr>
            <w:tcW w:w="4498" w:type="dxa"/>
            <w:shd w:val="clear" w:color="auto" w:fill="auto"/>
          </w:tcPr>
          <w:p w14:paraId="78BD83DE" w14:textId="75C48AB2" w:rsidR="00321930" w:rsidRDefault="00321930" w:rsidP="00321930">
            <w:pPr>
              <w:spacing w:before="180" w:after="180"/>
              <w:rPr>
                <w:lang w:val="en-NZ"/>
              </w:rPr>
            </w:pPr>
            <w:r w:rsidRPr="00962011">
              <w:rPr>
                <w:lang w:val="en-NZ"/>
              </w:rPr>
              <w:t xml:space="preserve">17-65 years of age </w:t>
            </w:r>
            <w:r w:rsidR="0096375D" w:rsidRPr="0096375D">
              <w:rPr>
                <w:b/>
                <w:bCs/>
                <w:lang w:val="en-NZ"/>
              </w:rPr>
              <w:t>178</w:t>
            </w:r>
          </w:p>
        </w:tc>
        <w:tc>
          <w:tcPr>
            <w:tcW w:w="4498" w:type="dxa"/>
            <w:shd w:val="clear" w:color="auto" w:fill="auto"/>
          </w:tcPr>
          <w:p w14:paraId="1978D88E" w14:textId="4D3026C9" w:rsidR="00321930" w:rsidRDefault="00321930" w:rsidP="00321930">
            <w:pPr>
              <w:spacing w:before="180" w:after="180"/>
              <w:rPr>
                <w:lang w:val="en-NZ"/>
              </w:rPr>
            </w:pPr>
            <w:r w:rsidRPr="00962011">
              <w:rPr>
                <w:lang w:val="en-NZ"/>
              </w:rPr>
              <w:t xml:space="preserve">17-65 years of age </w:t>
            </w:r>
            <w:r w:rsidR="0096375D" w:rsidRPr="0096375D">
              <w:rPr>
                <w:b/>
                <w:bCs/>
                <w:lang w:val="en-NZ"/>
              </w:rPr>
              <w:t>158</w:t>
            </w:r>
          </w:p>
        </w:tc>
      </w:tr>
      <w:tr w:rsidR="00321930" w14:paraId="445BCDA4" w14:textId="77777777" w:rsidTr="00321930">
        <w:trPr>
          <w:cantSplit/>
        </w:trPr>
        <w:tc>
          <w:tcPr>
            <w:tcW w:w="4498" w:type="dxa"/>
            <w:shd w:val="clear" w:color="auto" w:fill="auto"/>
          </w:tcPr>
          <w:p w14:paraId="6597C9B8" w14:textId="606C4DC2"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13</w:t>
            </w:r>
            <w:r w:rsidR="0096375D">
              <w:rPr>
                <w:b/>
                <w:bCs/>
                <w:lang w:val="en-NZ"/>
              </w:rPr>
              <w:t>2</w:t>
            </w:r>
          </w:p>
        </w:tc>
        <w:tc>
          <w:tcPr>
            <w:tcW w:w="4498" w:type="dxa"/>
            <w:shd w:val="clear" w:color="auto" w:fill="auto"/>
          </w:tcPr>
          <w:p w14:paraId="0B2277D5" w14:textId="12A5FF7C"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96375D">
              <w:rPr>
                <w:b/>
                <w:bCs/>
                <w:lang w:val="en-NZ"/>
              </w:rPr>
              <w:t>39</w:t>
            </w:r>
          </w:p>
        </w:tc>
      </w:tr>
      <w:tr w:rsidR="00321930" w14:paraId="0AF0F2F6" w14:textId="77777777" w:rsidTr="00321930">
        <w:trPr>
          <w:cantSplit/>
        </w:trPr>
        <w:tc>
          <w:tcPr>
            <w:tcW w:w="4498" w:type="dxa"/>
            <w:shd w:val="clear" w:color="auto" w:fill="auto"/>
          </w:tcPr>
          <w:p w14:paraId="6FB83DF2" w14:textId="1A84C6F2" w:rsidR="00321930" w:rsidRPr="00962011" w:rsidRDefault="00321930" w:rsidP="00321930">
            <w:pPr>
              <w:spacing w:before="180" w:after="180"/>
              <w:rPr>
                <w:lang w:val="mi-NZ"/>
              </w:rPr>
            </w:pPr>
            <w:r w:rsidRPr="00962011">
              <w:rPr>
                <w:lang w:val="mi-NZ"/>
              </w:rPr>
              <w:t>Pasifika</w:t>
            </w:r>
            <w:r w:rsidRPr="00962011">
              <w:rPr>
                <w:lang w:val="en-NZ"/>
              </w:rPr>
              <w:t xml:space="preserve"> </w:t>
            </w:r>
            <w:r w:rsidR="0096375D" w:rsidRPr="0096375D">
              <w:rPr>
                <w:b/>
                <w:bCs/>
                <w:lang w:val="en-NZ"/>
              </w:rPr>
              <w:t>8</w:t>
            </w:r>
          </w:p>
        </w:tc>
        <w:tc>
          <w:tcPr>
            <w:tcW w:w="4498" w:type="dxa"/>
            <w:shd w:val="clear" w:color="auto" w:fill="auto"/>
          </w:tcPr>
          <w:p w14:paraId="0A2D67BA" w14:textId="676B0EFC" w:rsidR="00321930" w:rsidRDefault="00321930" w:rsidP="00321930">
            <w:pPr>
              <w:spacing w:before="180" w:after="180"/>
              <w:rPr>
                <w:lang w:val="en-NZ"/>
              </w:rPr>
            </w:pPr>
            <w:r w:rsidRPr="00962011">
              <w:rPr>
                <w:lang w:val="mi-NZ"/>
              </w:rPr>
              <w:t>Pasifika</w:t>
            </w:r>
            <w:r w:rsidRPr="00962011">
              <w:rPr>
                <w:lang w:val="en-NZ"/>
              </w:rPr>
              <w:t xml:space="preserve"> </w:t>
            </w:r>
            <w:r w:rsidR="0096375D" w:rsidRPr="0096375D">
              <w:rPr>
                <w:b/>
                <w:bCs/>
                <w:lang w:val="en-NZ"/>
              </w:rPr>
              <w:t>7</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6" w:name="ColumnTitle_2"/>
            <w:bookmarkEnd w:id="16"/>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1975C1CF" w:rsidR="003B43BC" w:rsidRDefault="0096375D" w:rsidP="005D181E">
            <w:pPr>
              <w:spacing w:before="180" w:after="180"/>
              <w:rPr>
                <w:lang w:val="en-NZ"/>
              </w:rPr>
            </w:pPr>
            <w:r>
              <w:rPr>
                <w:b/>
                <w:bCs/>
                <w:lang w:val="en-NZ"/>
              </w:rPr>
              <w:t>44</w:t>
            </w:r>
            <w:r w:rsidR="003B43BC" w:rsidRPr="00962011">
              <w:rPr>
                <w:b/>
                <w:bCs/>
                <w:lang w:val="en-NZ"/>
              </w:rPr>
              <w:t>,</w:t>
            </w:r>
            <w:r>
              <w:rPr>
                <w:b/>
                <w:bCs/>
                <w:lang w:val="en-NZ"/>
              </w:rPr>
              <w:t>658</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7E32B336" w:rsidR="003B43BC" w:rsidRDefault="0096375D" w:rsidP="005D181E">
            <w:pPr>
              <w:spacing w:before="180" w:after="180"/>
              <w:rPr>
                <w:lang w:val="en-NZ"/>
              </w:rPr>
            </w:pPr>
            <w:r>
              <w:rPr>
                <w:b/>
                <w:bCs/>
                <w:lang w:val="en-NZ"/>
              </w:rPr>
              <w:t>44</w:t>
            </w:r>
            <w:r w:rsidR="009443C2" w:rsidRPr="00962011">
              <w:rPr>
                <w:b/>
                <w:bCs/>
                <w:lang w:val="en-NZ"/>
              </w:rPr>
              <w:t>,</w:t>
            </w:r>
            <w:r>
              <w:rPr>
                <w:b/>
                <w:bCs/>
                <w:lang w:val="en-NZ"/>
              </w:rPr>
              <w:t>068</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6E4B787D" w:rsidR="003B43BC" w:rsidRDefault="0096375D" w:rsidP="005D181E">
            <w:pPr>
              <w:spacing w:before="180" w:after="180"/>
              <w:rPr>
                <w:lang w:val="en-NZ"/>
              </w:rPr>
            </w:pPr>
            <w:r>
              <w:rPr>
                <w:b/>
                <w:bCs/>
                <w:lang w:val="en-NZ"/>
              </w:rPr>
              <w:t>1</w:t>
            </w:r>
            <w:r w:rsidR="003B43BC" w:rsidRPr="00962011">
              <w:rPr>
                <w:b/>
                <w:bCs/>
                <w:lang w:val="en-NZ"/>
              </w:rPr>
              <w:t>,</w:t>
            </w:r>
            <w:r>
              <w:rPr>
                <w:b/>
                <w:bCs/>
                <w:lang w:val="en-NZ"/>
              </w:rPr>
              <w:t>594</w:t>
            </w:r>
            <w:r w:rsidR="003B43BC" w:rsidRPr="00ED6A5B">
              <w:rPr>
                <w:lang w:val="en-NZ"/>
              </w:rPr>
              <w:t xml:space="preserve"> Ministry of Social Development</w:t>
            </w:r>
          </w:p>
        </w:tc>
        <w:tc>
          <w:tcPr>
            <w:tcW w:w="4498" w:type="dxa"/>
            <w:shd w:val="clear" w:color="auto" w:fill="auto"/>
          </w:tcPr>
          <w:p w14:paraId="025A644E" w14:textId="571FDF81" w:rsidR="003B43BC" w:rsidRDefault="009443C2" w:rsidP="005D181E">
            <w:pPr>
              <w:spacing w:before="180" w:after="180"/>
              <w:rPr>
                <w:lang w:val="en-NZ"/>
              </w:rPr>
            </w:pPr>
            <w:r w:rsidRPr="00962011">
              <w:rPr>
                <w:b/>
                <w:bCs/>
                <w:lang w:val="en-NZ"/>
              </w:rPr>
              <w:t>1,</w:t>
            </w:r>
            <w:r w:rsidR="0096375D">
              <w:rPr>
                <w:b/>
                <w:bCs/>
                <w:lang w:val="en-NZ"/>
              </w:rPr>
              <w:t>729</w:t>
            </w:r>
            <w:r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1A292E22" w:rsidR="003B43BC" w:rsidRDefault="0096375D" w:rsidP="005D181E">
            <w:pPr>
              <w:spacing w:before="180" w:after="180"/>
              <w:rPr>
                <w:lang w:val="en-NZ"/>
              </w:rPr>
            </w:pPr>
            <w:r w:rsidRPr="0096375D">
              <w:rPr>
                <w:b/>
                <w:bCs/>
                <w:lang w:val="en-NZ"/>
              </w:rPr>
              <w:t>444</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7254DD6D" w:rsidR="003B43BC" w:rsidRDefault="0096375D" w:rsidP="005D181E">
            <w:pPr>
              <w:spacing w:before="180" w:after="180"/>
              <w:rPr>
                <w:lang w:val="en-NZ"/>
              </w:rPr>
            </w:pPr>
            <w:r w:rsidRPr="0096375D">
              <w:rPr>
                <w:b/>
                <w:bCs/>
                <w:lang w:val="mi-NZ"/>
              </w:rPr>
              <w:t>562</w:t>
            </w:r>
            <w:r>
              <w:rPr>
                <w:lang w:val="mi-NZ"/>
              </w:rPr>
              <w:t xml:space="preserve"> </w:t>
            </w:r>
            <w:r w:rsidR="003B43BC" w:rsidRPr="00B954FA">
              <w:rPr>
                <w:lang w:val="mi-NZ"/>
              </w:rPr>
              <w:t>Oranga Tamariki</w:t>
            </w:r>
          </w:p>
        </w:tc>
      </w:tr>
      <w:tr w:rsidR="003B43BC" w:rsidRPr="00317365" w14:paraId="60A16C2B" w14:textId="77777777" w:rsidTr="005D181E">
        <w:trPr>
          <w:cantSplit/>
        </w:trPr>
        <w:tc>
          <w:tcPr>
            <w:tcW w:w="4498" w:type="dxa"/>
            <w:shd w:val="clear" w:color="auto" w:fill="auto"/>
          </w:tcPr>
          <w:p w14:paraId="1FDA3260" w14:textId="2DA6D913" w:rsidR="003B43BC" w:rsidRPr="0080433F" w:rsidRDefault="003B43BC" w:rsidP="005D181E">
            <w:pPr>
              <w:spacing w:before="180" w:after="180"/>
              <w:rPr>
                <w:lang w:val="en-NZ"/>
              </w:rPr>
            </w:pPr>
            <w:r w:rsidRPr="00962011">
              <w:rPr>
                <w:b/>
                <w:bCs/>
                <w:lang w:val="en-NZ"/>
              </w:rPr>
              <w:t>1</w:t>
            </w:r>
            <w:r w:rsidR="0096375D">
              <w:rPr>
                <w:b/>
                <w:bCs/>
                <w:lang w:val="en-NZ"/>
              </w:rPr>
              <w:t>1</w:t>
            </w:r>
            <w:r w:rsidRPr="00962011">
              <w:rPr>
                <w:b/>
                <w:bCs/>
                <w:lang w:val="en-NZ"/>
              </w:rPr>
              <w:t>,</w:t>
            </w:r>
            <w:r w:rsidR="0096375D">
              <w:rPr>
                <w:b/>
                <w:bCs/>
                <w:lang w:val="en-NZ"/>
              </w:rPr>
              <w:t>11</w:t>
            </w:r>
            <w:r w:rsidRPr="00962011">
              <w:rPr>
                <w:b/>
                <w:bCs/>
                <w:lang w:val="en-NZ"/>
              </w:rPr>
              <w:t>2</w:t>
            </w:r>
            <w:r w:rsidRPr="00ED6A5B">
              <w:rPr>
                <w:lang w:val="en-NZ"/>
              </w:rPr>
              <w:t xml:space="preserve"> Other (Individuals or non-Ministry)</w:t>
            </w:r>
          </w:p>
        </w:tc>
        <w:tc>
          <w:tcPr>
            <w:tcW w:w="4498" w:type="dxa"/>
            <w:shd w:val="clear" w:color="auto" w:fill="auto"/>
          </w:tcPr>
          <w:p w14:paraId="10CB41A1" w14:textId="149FC934" w:rsidR="003B43BC" w:rsidRPr="00317365" w:rsidRDefault="0096375D" w:rsidP="005D181E">
            <w:pPr>
              <w:spacing w:before="180" w:after="180"/>
              <w:rPr>
                <w:lang w:val="en-NZ"/>
              </w:rPr>
            </w:pPr>
            <w:r w:rsidRPr="0096375D">
              <w:rPr>
                <w:b/>
                <w:bCs/>
                <w:lang w:val="en-NZ"/>
              </w:rPr>
              <w:t>7,430</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7" w:name="ColumnTitle_3"/>
            <w:bookmarkEnd w:id="17"/>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1C24228F" w:rsidR="000A6B1A" w:rsidRDefault="000A6B1A" w:rsidP="005D181E">
            <w:pPr>
              <w:spacing w:before="180" w:after="180"/>
              <w:rPr>
                <w:lang w:val="en-NZ"/>
              </w:rPr>
            </w:pPr>
            <w:r w:rsidRPr="00962011">
              <w:rPr>
                <w:b/>
                <w:bCs/>
                <w:lang w:val="en-NZ"/>
              </w:rPr>
              <w:t>4</w:t>
            </w:r>
            <w:r w:rsidR="0096375D">
              <w:rPr>
                <w:b/>
                <w:bCs/>
                <w:lang w:val="en-NZ"/>
              </w:rPr>
              <w:t>23</w:t>
            </w:r>
            <w:r>
              <w:rPr>
                <w:b/>
                <w:bCs/>
                <w:lang w:val="en-NZ"/>
              </w:rPr>
              <w:t xml:space="preserve"> </w:t>
            </w:r>
            <w:r w:rsidR="00036914" w:rsidRPr="00962011">
              <w:rPr>
                <w:lang w:val="en-NZ"/>
              </w:rPr>
              <w:t>total number of branch members</w:t>
            </w:r>
          </w:p>
        </w:tc>
        <w:tc>
          <w:tcPr>
            <w:tcW w:w="4498" w:type="dxa"/>
            <w:shd w:val="clear" w:color="auto" w:fill="auto"/>
          </w:tcPr>
          <w:p w14:paraId="1F0FB954" w14:textId="2E9A4D18" w:rsidR="000A6B1A" w:rsidRDefault="0096375D" w:rsidP="005D181E">
            <w:pPr>
              <w:spacing w:before="180" w:after="180"/>
              <w:rPr>
                <w:lang w:val="en-NZ"/>
              </w:rPr>
            </w:pPr>
            <w:r>
              <w:rPr>
                <w:b/>
                <w:bCs/>
                <w:lang w:val="en-NZ"/>
              </w:rPr>
              <w:t>446</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0BF9A36C" w:rsidR="000A6B1A" w:rsidRDefault="0096375D" w:rsidP="005D181E">
            <w:pPr>
              <w:spacing w:before="180" w:after="180"/>
              <w:rPr>
                <w:lang w:val="en-NZ"/>
              </w:rPr>
            </w:pPr>
            <w:r>
              <w:rPr>
                <w:b/>
                <w:bCs/>
                <w:lang w:val="en-NZ"/>
              </w:rPr>
              <w:t>4</w:t>
            </w:r>
            <w:r w:rsidR="00036914" w:rsidRPr="00962011">
              <w:rPr>
                <w:b/>
                <w:bCs/>
                <w:lang w:val="en-NZ"/>
              </w:rPr>
              <w:t>,</w:t>
            </w:r>
            <w:r>
              <w:rPr>
                <w:b/>
                <w:bCs/>
                <w:lang w:val="en-NZ"/>
              </w:rPr>
              <w:t>10</w:t>
            </w:r>
            <w:r w:rsidR="00036914" w:rsidRPr="00962011">
              <w:rPr>
                <w:b/>
                <w:bCs/>
                <w:lang w:val="en-NZ"/>
              </w:rPr>
              <w:t>2</w:t>
            </w:r>
            <w:r w:rsidR="00036914" w:rsidRPr="00962011">
              <w:rPr>
                <w:lang w:val="en-NZ"/>
              </w:rPr>
              <w:t xml:space="preserve"> Mobility Parking permits issued</w:t>
            </w:r>
          </w:p>
        </w:tc>
        <w:tc>
          <w:tcPr>
            <w:tcW w:w="4498" w:type="dxa"/>
            <w:shd w:val="clear" w:color="auto" w:fill="auto"/>
          </w:tcPr>
          <w:p w14:paraId="575D747E" w14:textId="71D43D50" w:rsidR="000A6B1A" w:rsidRDefault="0096375D" w:rsidP="005D181E">
            <w:pPr>
              <w:spacing w:before="180" w:after="180"/>
              <w:rPr>
                <w:lang w:val="en-NZ"/>
              </w:rPr>
            </w:pPr>
            <w:r>
              <w:rPr>
                <w:b/>
                <w:bCs/>
                <w:lang w:val="en-NZ"/>
              </w:rPr>
              <w:t>5</w:t>
            </w:r>
            <w:r w:rsidR="003A2110" w:rsidRPr="00962011">
              <w:rPr>
                <w:b/>
                <w:bCs/>
                <w:lang w:val="en-NZ"/>
              </w:rPr>
              <w:t>,</w:t>
            </w:r>
            <w:r>
              <w:rPr>
                <w:b/>
                <w:bCs/>
                <w:lang w:val="en-NZ"/>
              </w:rPr>
              <w:t>475</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0550EFD7" w:rsidR="000A6B1A" w:rsidRDefault="0096375D" w:rsidP="005D181E">
            <w:pPr>
              <w:spacing w:before="180" w:after="180"/>
              <w:rPr>
                <w:lang w:val="en-NZ"/>
              </w:rPr>
            </w:pPr>
            <w:r>
              <w:rPr>
                <w:b/>
                <w:bCs/>
                <w:lang w:val="en-NZ"/>
              </w:rPr>
              <w:t>16</w:t>
            </w:r>
            <w:r w:rsidR="00036914" w:rsidRPr="00962011">
              <w:rPr>
                <w:b/>
                <w:bCs/>
                <w:lang w:val="en-NZ"/>
              </w:rPr>
              <w:t>,</w:t>
            </w:r>
            <w:r>
              <w:rPr>
                <w:b/>
                <w:bCs/>
                <w:lang w:val="en-NZ"/>
              </w:rPr>
              <w:t>937</w:t>
            </w:r>
            <w:r w:rsidR="00036914" w:rsidRPr="00962011">
              <w:rPr>
                <w:lang w:val="en-NZ"/>
              </w:rPr>
              <w:t xml:space="preserve"> people using Mobility Parking Scheme</w:t>
            </w:r>
          </w:p>
        </w:tc>
        <w:tc>
          <w:tcPr>
            <w:tcW w:w="4498" w:type="dxa"/>
            <w:shd w:val="clear" w:color="auto" w:fill="auto"/>
          </w:tcPr>
          <w:p w14:paraId="45BD480C" w14:textId="184CF496" w:rsidR="000A6B1A" w:rsidRDefault="0096375D" w:rsidP="005D181E">
            <w:pPr>
              <w:spacing w:before="180" w:after="180"/>
              <w:rPr>
                <w:lang w:val="en-NZ"/>
              </w:rPr>
            </w:pPr>
            <w:r>
              <w:rPr>
                <w:b/>
                <w:bCs/>
                <w:lang w:val="en-NZ"/>
              </w:rPr>
              <w:t>18</w:t>
            </w:r>
            <w:r w:rsidR="001877DC" w:rsidRPr="00962011">
              <w:rPr>
                <w:b/>
                <w:bCs/>
                <w:lang w:val="en-NZ"/>
              </w:rPr>
              <w:t>,</w:t>
            </w:r>
            <w:r>
              <w:rPr>
                <w:b/>
                <w:bCs/>
                <w:lang w:val="en-NZ"/>
              </w:rPr>
              <w:t>194</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638EA936" w:rsidR="000A6B1A" w:rsidRDefault="0096375D" w:rsidP="005D181E">
            <w:pPr>
              <w:spacing w:before="180" w:after="180"/>
              <w:rPr>
                <w:lang w:val="en-NZ"/>
              </w:rPr>
            </w:pPr>
            <w:r w:rsidRPr="0096375D">
              <w:rPr>
                <w:b/>
                <w:bCs/>
                <w:lang w:val="en-NZ"/>
              </w:rPr>
              <w:t>1</w:t>
            </w:r>
            <w:r w:rsidR="00554924" w:rsidRPr="00962011">
              <w:rPr>
                <w:lang w:val="en-NZ"/>
              </w:rPr>
              <w:t xml:space="preserve"> education or training sessions provided</w:t>
            </w:r>
          </w:p>
        </w:tc>
        <w:tc>
          <w:tcPr>
            <w:tcW w:w="4498" w:type="dxa"/>
            <w:shd w:val="clear" w:color="auto" w:fill="auto"/>
          </w:tcPr>
          <w:p w14:paraId="4564E455" w14:textId="01724D68" w:rsidR="000A6B1A" w:rsidRDefault="0096375D" w:rsidP="005D181E">
            <w:pPr>
              <w:spacing w:before="180" w:after="180"/>
              <w:rPr>
                <w:lang w:val="en-NZ"/>
              </w:rPr>
            </w:pPr>
            <w:r w:rsidRPr="0096375D">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21547DEF" w:rsidR="000A6B1A" w:rsidRDefault="0096375D" w:rsidP="005D181E">
            <w:pPr>
              <w:spacing w:before="180" w:after="180"/>
              <w:rPr>
                <w:lang w:val="en-NZ"/>
              </w:rPr>
            </w:pPr>
            <w:r w:rsidRPr="0096375D">
              <w:rPr>
                <w:b/>
                <w:bCs/>
                <w:lang w:val="en-NZ"/>
              </w:rPr>
              <w:t>3</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8" w:name="_Toc156473605"/>
      <w:bookmarkStart w:id="19" w:name="_Toc157079886"/>
      <w:r w:rsidRPr="00962011">
        <w:rPr>
          <w:lang w:val="en-NZ"/>
        </w:rPr>
        <w:lastRenderedPageBreak/>
        <w:t>Financial summary</w:t>
      </w:r>
      <w:r w:rsidR="00180707" w:rsidRPr="00962011">
        <w:rPr>
          <w:lang w:val="en-NZ"/>
        </w:rPr>
        <w:br/>
      </w:r>
      <w:r w:rsidRPr="00962011">
        <w:rPr>
          <w:lang w:val="en-NZ"/>
        </w:rPr>
        <w:t>For the year ended 30 June 2023</w:t>
      </w:r>
      <w:bookmarkEnd w:id="18"/>
      <w:bookmarkEnd w:id="19"/>
    </w:p>
    <w:p w14:paraId="13EBE351" w14:textId="67CD1000" w:rsidR="00734AF2" w:rsidRPr="00962011" w:rsidRDefault="00734AF2" w:rsidP="00692B9B">
      <w:pPr>
        <w:pStyle w:val="Heading2"/>
        <w:rPr>
          <w:lang w:val="en-NZ"/>
        </w:rPr>
      </w:pPr>
      <w:r w:rsidRPr="00962011">
        <w:rPr>
          <w:lang w:val="en-NZ"/>
        </w:rPr>
        <w:t>Revenue</w:t>
      </w:r>
    </w:p>
    <w:p w14:paraId="40EBCD5B" w14:textId="45EB195A" w:rsidR="00734AF2" w:rsidRPr="00962011" w:rsidRDefault="00734AF2" w:rsidP="00153292">
      <w:pPr>
        <w:pStyle w:val="ListParagraph"/>
        <w:numPr>
          <w:ilvl w:val="0"/>
          <w:numId w:val="2"/>
        </w:numPr>
        <w:rPr>
          <w:lang w:val="en-NZ"/>
        </w:rPr>
      </w:pPr>
      <w:r w:rsidRPr="00962011">
        <w:rPr>
          <w:lang w:val="en-NZ"/>
        </w:rPr>
        <w:t xml:space="preserve">Government contracts: </w:t>
      </w:r>
      <w:r w:rsidR="0096375D">
        <w:rPr>
          <w:lang w:val="en-NZ"/>
        </w:rPr>
        <w:t>29</w:t>
      </w:r>
      <w:r w:rsidRPr="00962011">
        <w:rPr>
          <w:lang w:val="en-NZ"/>
        </w:rPr>
        <w:t>%</w:t>
      </w:r>
    </w:p>
    <w:p w14:paraId="21B34FCD" w14:textId="77CA97BC" w:rsidR="00734AF2" w:rsidRPr="00962011" w:rsidRDefault="00734AF2" w:rsidP="00153292">
      <w:pPr>
        <w:pStyle w:val="ListParagraph"/>
        <w:numPr>
          <w:ilvl w:val="0"/>
          <w:numId w:val="2"/>
        </w:numPr>
        <w:rPr>
          <w:lang w:val="en-NZ"/>
        </w:rPr>
      </w:pPr>
      <w:r w:rsidRPr="00962011">
        <w:rPr>
          <w:lang w:val="en-NZ"/>
        </w:rPr>
        <w:t xml:space="preserve">Other revenue: </w:t>
      </w:r>
      <w:r w:rsidR="0096375D">
        <w:rPr>
          <w:lang w:val="en-NZ"/>
        </w:rPr>
        <w:t>1</w:t>
      </w:r>
      <w:r w:rsidRPr="00962011">
        <w:rPr>
          <w:lang w:val="en-NZ"/>
        </w:rPr>
        <w:t>%</w:t>
      </w:r>
    </w:p>
    <w:p w14:paraId="1C586878" w14:textId="623F811E" w:rsidR="00734AF2" w:rsidRPr="00962011" w:rsidRDefault="00734AF2" w:rsidP="00153292">
      <w:pPr>
        <w:pStyle w:val="ListParagraph"/>
        <w:numPr>
          <w:ilvl w:val="0"/>
          <w:numId w:val="2"/>
        </w:numPr>
        <w:rPr>
          <w:lang w:val="en-NZ"/>
        </w:rPr>
      </w:pPr>
      <w:r w:rsidRPr="00962011">
        <w:rPr>
          <w:lang w:val="en-NZ"/>
        </w:rPr>
        <w:t xml:space="preserve">Investments: </w:t>
      </w:r>
      <w:r w:rsidR="0096375D">
        <w:rPr>
          <w:lang w:val="en-NZ"/>
        </w:rPr>
        <w:t>3</w:t>
      </w:r>
      <w:r w:rsidRPr="00962011">
        <w:rPr>
          <w:lang w:val="en-NZ"/>
        </w:rPr>
        <w:t>%</w:t>
      </w:r>
    </w:p>
    <w:p w14:paraId="1043D9B0" w14:textId="020FA6A0" w:rsidR="00734AF2" w:rsidRPr="00962011" w:rsidRDefault="00734AF2" w:rsidP="00153292">
      <w:pPr>
        <w:pStyle w:val="ListParagraph"/>
        <w:numPr>
          <w:ilvl w:val="0"/>
          <w:numId w:val="2"/>
        </w:numPr>
        <w:rPr>
          <w:lang w:val="en-NZ"/>
        </w:rPr>
      </w:pPr>
      <w:r w:rsidRPr="00962011">
        <w:rPr>
          <w:lang w:val="en-NZ"/>
        </w:rPr>
        <w:t xml:space="preserve">Bequests: </w:t>
      </w:r>
      <w:r w:rsidR="0096375D">
        <w:rPr>
          <w:lang w:val="en-NZ"/>
        </w:rPr>
        <w:t>64</w:t>
      </w:r>
      <w:r w:rsidRPr="00962011">
        <w:rPr>
          <w:lang w:val="en-NZ"/>
        </w:rPr>
        <w:t>%</w:t>
      </w:r>
    </w:p>
    <w:p w14:paraId="24F996EB" w14:textId="7074A3AD" w:rsidR="00734AF2" w:rsidRPr="00962011" w:rsidRDefault="00734AF2" w:rsidP="00153292">
      <w:pPr>
        <w:pStyle w:val="ListParagraph"/>
        <w:numPr>
          <w:ilvl w:val="0"/>
          <w:numId w:val="2"/>
        </w:numPr>
        <w:rPr>
          <w:lang w:val="en-NZ"/>
        </w:rPr>
      </w:pPr>
      <w:r w:rsidRPr="00962011">
        <w:rPr>
          <w:lang w:val="en-NZ"/>
        </w:rPr>
        <w:t xml:space="preserve">Other contracts and grants: </w:t>
      </w:r>
      <w:r w:rsidR="0096375D">
        <w:rPr>
          <w:lang w:val="en-NZ"/>
        </w:rPr>
        <w:t>2</w:t>
      </w:r>
      <w:r w:rsidRPr="00962011">
        <w:rPr>
          <w:lang w:val="en-NZ"/>
        </w:rPr>
        <w:t>%</w:t>
      </w:r>
    </w:p>
    <w:p w14:paraId="0B0A5A0C" w14:textId="4182F88B" w:rsidR="00734AF2" w:rsidRPr="00962011" w:rsidRDefault="00734AF2" w:rsidP="00153292">
      <w:pPr>
        <w:pStyle w:val="ListParagraph"/>
        <w:numPr>
          <w:ilvl w:val="0"/>
          <w:numId w:val="2"/>
        </w:numPr>
        <w:rPr>
          <w:lang w:val="en-NZ"/>
        </w:rPr>
      </w:pPr>
      <w:r w:rsidRPr="00962011">
        <w:rPr>
          <w:lang w:val="en-NZ"/>
        </w:rPr>
        <w:t xml:space="preserve">Funds raised by CCS DA: </w:t>
      </w:r>
      <w:r w:rsidR="0096375D">
        <w:rPr>
          <w:lang w:val="en-NZ"/>
        </w:rPr>
        <w:t>1</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1DFFCF76"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96375D">
        <w:rPr>
          <w:lang w:val="en-NZ"/>
        </w:rPr>
        <w:t>5</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54B4E79C"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96375D">
        <w:rPr>
          <w:lang w:val="en-NZ"/>
        </w:rPr>
        <w:t>4</w:t>
      </w:r>
      <w:r w:rsidRPr="00962011">
        <w:rPr>
          <w:lang w:val="en-NZ"/>
        </w:rPr>
        <w:t>%</w:t>
      </w:r>
    </w:p>
    <w:p w14:paraId="56CD3C9B" w14:textId="44934091" w:rsidR="00153292" w:rsidRPr="00962011" w:rsidRDefault="00153292" w:rsidP="00153292">
      <w:pPr>
        <w:pStyle w:val="ListParagraph"/>
        <w:numPr>
          <w:ilvl w:val="0"/>
          <w:numId w:val="3"/>
        </w:numPr>
        <w:rPr>
          <w:lang w:val="en-NZ"/>
        </w:rPr>
      </w:pPr>
      <w:r w:rsidRPr="00962011">
        <w:rPr>
          <w:lang w:val="en-NZ"/>
        </w:rPr>
        <w:t xml:space="preserve">Travel and accommodation: </w:t>
      </w:r>
      <w:r w:rsidR="0096375D">
        <w:rPr>
          <w:lang w:val="en-NZ"/>
        </w:rPr>
        <w:t>2</w:t>
      </w:r>
      <w:r w:rsidRPr="00962011">
        <w:rPr>
          <w:lang w:val="en-NZ"/>
        </w:rPr>
        <w:t>%</w:t>
      </w:r>
    </w:p>
    <w:p w14:paraId="6B2256A6" w14:textId="6879C71F" w:rsidR="00153292" w:rsidRPr="00962011" w:rsidRDefault="00153292" w:rsidP="00153292">
      <w:pPr>
        <w:pStyle w:val="ListParagraph"/>
        <w:numPr>
          <w:ilvl w:val="0"/>
          <w:numId w:val="3"/>
        </w:numPr>
        <w:rPr>
          <w:lang w:val="en-NZ"/>
        </w:rPr>
      </w:pPr>
      <w:r w:rsidRPr="00962011">
        <w:rPr>
          <w:lang w:val="en-NZ"/>
        </w:rPr>
        <w:t xml:space="preserve">Programme costs: </w:t>
      </w:r>
      <w:r w:rsidR="0096375D">
        <w:rPr>
          <w:lang w:val="en-NZ"/>
        </w:rPr>
        <w:t>1</w:t>
      </w:r>
      <w:r w:rsidRPr="00962011">
        <w:rPr>
          <w:lang w:val="en-NZ"/>
        </w:rPr>
        <w:t>2%</w:t>
      </w:r>
    </w:p>
    <w:p w14:paraId="271F249D" w14:textId="04754CAC" w:rsidR="00153292" w:rsidRPr="00962011" w:rsidRDefault="00153292" w:rsidP="00153292">
      <w:pPr>
        <w:pStyle w:val="ListParagraph"/>
        <w:numPr>
          <w:ilvl w:val="0"/>
          <w:numId w:val="3"/>
        </w:numPr>
        <w:rPr>
          <w:lang w:val="en-NZ"/>
        </w:rPr>
      </w:pPr>
      <w:r w:rsidRPr="00962011">
        <w:rPr>
          <w:lang w:val="en-NZ"/>
        </w:rPr>
        <w:t xml:space="preserve">Other costs: </w:t>
      </w:r>
      <w:r w:rsidR="0096375D">
        <w:rPr>
          <w:lang w:val="en-NZ"/>
        </w:rPr>
        <w:t>12</w:t>
      </w:r>
      <w:r w:rsidRPr="00962011">
        <w:rPr>
          <w:lang w:val="en-NZ"/>
        </w:rPr>
        <w:t>%</w:t>
      </w:r>
    </w:p>
    <w:p w14:paraId="792FD846" w14:textId="6C0317FE" w:rsidR="00153292" w:rsidRPr="00962011" w:rsidRDefault="00153292" w:rsidP="00153292">
      <w:pPr>
        <w:pStyle w:val="ListParagraph"/>
        <w:numPr>
          <w:ilvl w:val="0"/>
          <w:numId w:val="3"/>
        </w:numPr>
        <w:rPr>
          <w:lang w:val="en-NZ"/>
        </w:rPr>
      </w:pPr>
      <w:r w:rsidRPr="00962011">
        <w:rPr>
          <w:lang w:val="en-NZ"/>
        </w:rPr>
        <w:lastRenderedPageBreak/>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0" w:name="Title_1"/>
            <w:bookmarkEnd w:id="20"/>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70044B6B" w:rsidR="00153292" w:rsidRPr="00962011" w:rsidRDefault="00230654" w:rsidP="006C26C1">
            <w:pPr>
              <w:spacing w:before="180" w:after="180"/>
              <w:rPr>
                <w:lang w:val="en-NZ"/>
              </w:rPr>
            </w:pPr>
            <w:r>
              <w:rPr>
                <w:lang w:val="en-NZ"/>
              </w:rPr>
              <w:t>4</w:t>
            </w:r>
            <w:r w:rsidR="00153292" w:rsidRPr="00962011">
              <w:rPr>
                <w:lang w:val="en-NZ"/>
              </w:rPr>
              <w:t>,</w:t>
            </w:r>
            <w:r>
              <w:rPr>
                <w:lang w:val="en-NZ"/>
              </w:rPr>
              <w:t>058</w:t>
            </w:r>
          </w:p>
        </w:tc>
        <w:tc>
          <w:tcPr>
            <w:tcW w:w="2471" w:type="dxa"/>
            <w:shd w:val="clear" w:color="auto" w:fill="auto"/>
          </w:tcPr>
          <w:p w14:paraId="1843AA5E" w14:textId="1DA35710" w:rsidR="00153292" w:rsidRPr="00962011" w:rsidRDefault="007E7F9F" w:rsidP="006C26C1">
            <w:pPr>
              <w:spacing w:before="180" w:after="180"/>
              <w:rPr>
                <w:lang w:val="en-NZ"/>
              </w:rPr>
            </w:pPr>
            <w:r>
              <w:rPr>
                <w:lang w:val="en-NZ"/>
              </w:rPr>
              <w:t>4</w:t>
            </w:r>
            <w:r w:rsidR="00153292" w:rsidRPr="00962011">
              <w:rPr>
                <w:lang w:val="en-NZ"/>
              </w:rPr>
              <w:t>,</w:t>
            </w:r>
            <w:r>
              <w:rPr>
                <w:lang w:val="en-NZ"/>
              </w:rPr>
              <w:t>0</w:t>
            </w:r>
            <w:r w:rsidR="00153292" w:rsidRPr="00962011">
              <w:rPr>
                <w:lang w:val="en-NZ"/>
              </w:rPr>
              <w:t>9</w:t>
            </w:r>
            <w:r>
              <w:rPr>
                <w:lang w:val="en-NZ"/>
              </w:rPr>
              <w:t>7</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3C362073" w:rsidR="00153292" w:rsidRPr="00962011" w:rsidRDefault="00230654" w:rsidP="006C26C1">
            <w:pPr>
              <w:spacing w:before="180" w:after="180"/>
              <w:rPr>
                <w:lang w:val="en-NZ"/>
              </w:rPr>
            </w:pPr>
            <w:r>
              <w:rPr>
                <w:lang w:val="en-NZ"/>
              </w:rPr>
              <w:t>4</w:t>
            </w:r>
            <w:r w:rsidR="00153292" w:rsidRPr="00962011">
              <w:rPr>
                <w:lang w:val="en-NZ"/>
              </w:rPr>
              <w:t>,</w:t>
            </w:r>
            <w:r>
              <w:rPr>
                <w:lang w:val="en-NZ"/>
              </w:rPr>
              <w:t>134</w:t>
            </w:r>
          </w:p>
        </w:tc>
        <w:tc>
          <w:tcPr>
            <w:tcW w:w="2471" w:type="dxa"/>
            <w:shd w:val="clear" w:color="auto" w:fill="auto"/>
          </w:tcPr>
          <w:p w14:paraId="4B635663" w14:textId="6A12B6B6" w:rsidR="00153292" w:rsidRPr="00962011" w:rsidRDefault="007E7F9F" w:rsidP="006C26C1">
            <w:pPr>
              <w:spacing w:before="180" w:after="180"/>
              <w:rPr>
                <w:lang w:val="en-NZ"/>
              </w:rPr>
            </w:pPr>
            <w:r>
              <w:rPr>
                <w:lang w:val="en-NZ"/>
              </w:rPr>
              <w:t>3</w:t>
            </w:r>
            <w:r w:rsidR="00153292" w:rsidRPr="00962011">
              <w:rPr>
                <w:lang w:val="en-NZ"/>
              </w:rPr>
              <w:t>,</w:t>
            </w:r>
            <w:r>
              <w:rPr>
                <w:lang w:val="en-NZ"/>
              </w:rPr>
              <w:t>976</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7F724699" w:rsidR="00153292" w:rsidRPr="00962011" w:rsidRDefault="00230654" w:rsidP="006C26C1">
            <w:pPr>
              <w:spacing w:before="180" w:after="180"/>
              <w:rPr>
                <w:b/>
                <w:bCs/>
                <w:lang w:val="en-NZ"/>
              </w:rPr>
            </w:pPr>
            <w:r>
              <w:rPr>
                <w:b/>
                <w:bCs/>
                <w:lang w:val="en-NZ"/>
              </w:rPr>
              <w:t>(</w:t>
            </w:r>
            <w:r w:rsidR="00153292" w:rsidRPr="00962011">
              <w:rPr>
                <w:b/>
                <w:bCs/>
                <w:lang w:val="en-NZ"/>
              </w:rPr>
              <w:t>7</w:t>
            </w:r>
            <w:r>
              <w:rPr>
                <w:b/>
                <w:bCs/>
                <w:lang w:val="en-NZ"/>
              </w:rPr>
              <w:t>6)</w:t>
            </w:r>
          </w:p>
        </w:tc>
        <w:tc>
          <w:tcPr>
            <w:tcW w:w="2471" w:type="dxa"/>
            <w:shd w:val="clear" w:color="auto" w:fill="auto"/>
          </w:tcPr>
          <w:p w14:paraId="06279B35" w14:textId="16803BB6" w:rsidR="00153292" w:rsidRPr="00962011" w:rsidRDefault="007E7F9F" w:rsidP="006C26C1">
            <w:pPr>
              <w:spacing w:before="180" w:after="180"/>
              <w:rPr>
                <w:b/>
                <w:bCs/>
                <w:lang w:val="en-NZ"/>
              </w:rPr>
            </w:pPr>
            <w:r>
              <w:rPr>
                <w:b/>
                <w:bCs/>
                <w:lang w:val="en-NZ"/>
              </w:rPr>
              <w:t>1</w:t>
            </w:r>
            <w:r w:rsidR="00153292" w:rsidRPr="00962011">
              <w:rPr>
                <w:b/>
                <w:bCs/>
                <w:lang w:val="en-NZ"/>
              </w:rPr>
              <w:t>2</w:t>
            </w:r>
            <w:r>
              <w:rPr>
                <w:b/>
                <w:bCs/>
                <w:lang w:val="en-NZ"/>
              </w:rPr>
              <w:t>1</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699ECAB5" w:rsidR="00153292" w:rsidRPr="00962011" w:rsidRDefault="00153292" w:rsidP="006C26C1">
            <w:pPr>
              <w:spacing w:before="180" w:after="180"/>
              <w:rPr>
                <w:lang w:val="en-NZ"/>
              </w:rPr>
            </w:pPr>
            <w:r w:rsidRPr="00962011">
              <w:rPr>
                <w:lang w:val="en-NZ"/>
              </w:rPr>
              <w:t>5</w:t>
            </w:r>
            <w:r w:rsidR="00230654">
              <w:rPr>
                <w:lang w:val="en-NZ"/>
              </w:rPr>
              <w:t>,218</w:t>
            </w:r>
          </w:p>
        </w:tc>
        <w:tc>
          <w:tcPr>
            <w:tcW w:w="2471" w:type="dxa"/>
            <w:shd w:val="clear" w:color="auto" w:fill="auto"/>
          </w:tcPr>
          <w:p w14:paraId="365B1B28" w14:textId="01B7E344" w:rsidR="00153292" w:rsidRPr="00962011" w:rsidRDefault="007E7F9F" w:rsidP="006C26C1">
            <w:pPr>
              <w:spacing w:before="180" w:after="180"/>
              <w:rPr>
                <w:lang w:val="en-NZ"/>
              </w:rPr>
            </w:pPr>
            <w:r>
              <w:rPr>
                <w:lang w:val="en-NZ"/>
              </w:rPr>
              <w:t>15</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0BD36C3B" w:rsidR="00153292" w:rsidRPr="00962011" w:rsidRDefault="00153292" w:rsidP="006C26C1">
            <w:pPr>
              <w:spacing w:before="180" w:after="180"/>
              <w:rPr>
                <w:lang w:val="en-NZ"/>
              </w:rPr>
            </w:pPr>
            <w:r w:rsidRPr="00962011">
              <w:rPr>
                <w:lang w:val="en-NZ"/>
              </w:rPr>
              <w:t>(3</w:t>
            </w:r>
            <w:r w:rsidR="00230654">
              <w:rPr>
                <w:lang w:val="en-NZ"/>
              </w:rPr>
              <w:t>8</w:t>
            </w:r>
            <w:r w:rsidRPr="00962011">
              <w:rPr>
                <w:lang w:val="en-NZ"/>
              </w:rPr>
              <w:t>)</w:t>
            </w:r>
          </w:p>
        </w:tc>
        <w:tc>
          <w:tcPr>
            <w:tcW w:w="2471" w:type="dxa"/>
            <w:shd w:val="clear" w:color="auto" w:fill="auto"/>
          </w:tcPr>
          <w:p w14:paraId="4BCCD0C0" w14:textId="0696697E" w:rsidR="00153292" w:rsidRPr="00962011" w:rsidRDefault="00153292" w:rsidP="006C26C1">
            <w:pPr>
              <w:spacing w:before="180" w:after="180"/>
              <w:rPr>
                <w:lang w:val="en-NZ"/>
              </w:rPr>
            </w:pPr>
            <w:r w:rsidRPr="00962011">
              <w:rPr>
                <w:lang w:val="en-NZ"/>
              </w:rPr>
              <w:t>(1)</w:t>
            </w:r>
          </w:p>
        </w:tc>
      </w:tr>
      <w:tr w:rsidR="007E7F9F" w:rsidRPr="00962011" w14:paraId="1E43830E" w14:textId="77777777" w:rsidTr="00932C85">
        <w:trPr>
          <w:cantSplit/>
        </w:trPr>
        <w:tc>
          <w:tcPr>
            <w:tcW w:w="9047" w:type="dxa"/>
            <w:shd w:val="clear" w:color="auto" w:fill="auto"/>
          </w:tcPr>
          <w:p w14:paraId="02A4B21E" w14:textId="2AA02D39" w:rsidR="007E7F9F" w:rsidRPr="00962011" w:rsidRDefault="007E7F9F" w:rsidP="006C26C1">
            <w:pPr>
              <w:spacing w:before="180" w:after="180"/>
              <w:rPr>
                <w:lang w:val="en-NZ"/>
              </w:rPr>
            </w:pPr>
            <w:r>
              <w:rPr>
                <w:lang w:val="en-NZ"/>
              </w:rPr>
              <w:lastRenderedPageBreak/>
              <w:t>Gifts received</w:t>
            </w:r>
          </w:p>
        </w:tc>
        <w:tc>
          <w:tcPr>
            <w:tcW w:w="2410" w:type="dxa"/>
            <w:shd w:val="clear" w:color="auto" w:fill="auto"/>
          </w:tcPr>
          <w:p w14:paraId="0351EB97" w14:textId="56CB9959" w:rsidR="007E7F9F" w:rsidRDefault="007E7F9F" w:rsidP="006C26C1">
            <w:pPr>
              <w:spacing w:before="180" w:after="180"/>
              <w:rPr>
                <w:lang w:val="en-NZ"/>
              </w:rPr>
            </w:pPr>
            <w:r>
              <w:rPr>
                <w:lang w:val="en-NZ"/>
              </w:rPr>
              <w:t>1,925</w:t>
            </w:r>
          </w:p>
        </w:tc>
        <w:tc>
          <w:tcPr>
            <w:tcW w:w="2471" w:type="dxa"/>
            <w:shd w:val="clear" w:color="auto" w:fill="auto"/>
          </w:tcPr>
          <w:p w14:paraId="78C7A64B" w14:textId="5BC6CC4A" w:rsidR="007E7F9F" w:rsidRDefault="007E7F9F"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t>Grants received/(paid)</w:t>
            </w:r>
          </w:p>
        </w:tc>
        <w:tc>
          <w:tcPr>
            <w:tcW w:w="2410" w:type="dxa"/>
            <w:shd w:val="clear" w:color="auto" w:fill="auto"/>
          </w:tcPr>
          <w:p w14:paraId="0B8C0AA8" w14:textId="7FD91C60" w:rsidR="00153292" w:rsidRPr="00962011" w:rsidRDefault="00230654" w:rsidP="006C26C1">
            <w:pPr>
              <w:spacing w:before="180" w:after="180"/>
              <w:rPr>
                <w:lang w:val="en-NZ"/>
              </w:rPr>
            </w:pPr>
            <w:r>
              <w:rPr>
                <w:lang w:val="en-NZ"/>
              </w:rPr>
              <w:t>(125)</w:t>
            </w:r>
          </w:p>
        </w:tc>
        <w:tc>
          <w:tcPr>
            <w:tcW w:w="2471" w:type="dxa"/>
            <w:shd w:val="clear" w:color="auto" w:fill="auto"/>
          </w:tcPr>
          <w:p w14:paraId="16818E20" w14:textId="37AF38B9" w:rsidR="00153292" w:rsidRPr="00962011" w:rsidRDefault="007E7F9F" w:rsidP="006C26C1">
            <w:pPr>
              <w:spacing w:before="180" w:after="180"/>
              <w:rPr>
                <w:lang w:val="en-NZ"/>
              </w:rPr>
            </w:pPr>
            <w:r>
              <w:rPr>
                <w:lang w:val="en-NZ"/>
              </w:rPr>
              <w:t>18</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7D867D28" w:rsidR="00153292" w:rsidRPr="00962011" w:rsidRDefault="00230654" w:rsidP="006C26C1">
            <w:pPr>
              <w:spacing w:before="180" w:after="180"/>
              <w:rPr>
                <w:lang w:val="en-NZ"/>
              </w:rPr>
            </w:pPr>
            <w:r>
              <w:rPr>
                <w:lang w:val="en-NZ"/>
              </w:rPr>
              <w:t>26</w:t>
            </w:r>
          </w:p>
        </w:tc>
        <w:tc>
          <w:tcPr>
            <w:tcW w:w="2471" w:type="dxa"/>
            <w:shd w:val="clear" w:color="auto" w:fill="auto"/>
          </w:tcPr>
          <w:p w14:paraId="6034A607" w14:textId="4EFF5837" w:rsidR="00153292" w:rsidRPr="00962011" w:rsidRDefault="007E7F9F" w:rsidP="006C26C1">
            <w:pPr>
              <w:spacing w:before="180" w:after="180"/>
              <w:rPr>
                <w:lang w:val="en-NZ"/>
              </w:rPr>
            </w:pPr>
            <w:r>
              <w:rPr>
                <w:lang w:val="en-NZ"/>
              </w:rPr>
              <w:t>–</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1B414049" w:rsidR="00153292" w:rsidRPr="00962011" w:rsidRDefault="00230654" w:rsidP="006C26C1">
            <w:pPr>
              <w:spacing w:before="180" w:after="180"/>
              <w:rPr>
                <w:lang w:val="en-NZ"/>
              </w:rPr>
            </w:pPr>
            <w:r>
              <w:rPr>
                <w:lang w:val="en-NZ"/>
              </w:rPr>
              <w:t>140</w:t>
            </w:r>
          </w:p>
        </w:tc>
        <w:tc>
          <w:tcPr>
            <w:tcW w:w="2471" w:type="dxa"/>
            <w:shd w:val="clear" w:color="auto" w:fill="auto"/>
          </w:tcPr>
          <w:p w14:paraId="2BEEF121" w14:textId="2B475212" w:rsidR="00153292" w:rsidRPr="00962011" w:rsidRDefault="00153292" w:rsidP="006C26C1">
            <w:pPr>
              <w:spacing w:before="180" w:after="180"/>
              <w:rPr>
                <w:lang w:val="en-NZ"/>
              </w:rPr>
            </w:pPr>
            <w:r w:rsidRPr="00962011">
              <w:rPr>
                <w:lang w:val="en-NZ"/>
              </w:rPr>
              <w:t>(</w:t>
            </w:r>
            <w:r w:rsidR="007E7F9F">
              <w:rPr>
                <w:lang w:val="en-NZ"/>
              </w:rPr>
              <w:t>165</w:t>
            </w:r>
            <w:r w:rsidRPr="00962011">
              <w:rPr>
                <w:lang w:val="en-NZ"/>
              </w:rPr>
              <w:t>)</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6562594E" w:rsidR="00153292" w:rsidRPr="00962011" w:rsidRDefault="00230654" w:rsidP="006C26C1">
            <w:pPr>
              <w:spacing w:before="180" w:after="180"/>
              <w:rPr>
                <w:b/>
                <w:bCs/>
                <w:lang w:val="en-NZ"/>
              </w:rPr>
            </w:pPr>
            <w:r>
              <w:rPr>
                <w:b/>
                <w:bCs/>
                <w:lang w:val="en-NZ"/>
              </w:rPr>
              <w:t>7</w:t>
            </w:r>
            <w:r w:rsidR="00153292" w:rsidRPr="00962011">
              <w:rPr>
                <w:b/>
                <w:bCs/>
                <w:lang w:val="en-NZ"/>
              </w:rPr>
              <w:t>,</w:t>
            </w:r>
            <w:r>
              <w:rPr>
                <w:b/>
                <w:bCs/>
                <w:lang w:val="en-NZ"/>
              </w:rPr>
              <w:t>070</w:t>
            </w:r>
          </w:p>
        </w:tc>
        <w:tc>
          <w:tcPr>
            <w:tcW w:w="2471" w:type="dxa"/>
            <w:shd w:val="clear" w:color="auto" w:fill="auto"/>
          </w:tcPr>
          <w:p w14:paraId="11424119" w14:textId="100002EF" w:rsidR="00153292" w:rsidRPr="00962011" w:rsidRDefault="00153292" w:rsidP="006C26C1">
            <w:pPr>
              <w:spacing w:before="180" w:after="180"/>
              <w:rPr>
                <w:b/>
                <w:bCs/>
                <w:lang w:val="en-NZ"/>
              </w:rPr>
            </w:pPr>
            <w:r w:rsidRPr="00962011">
              <w:rPr>
                <w:b/>
                <w:bCs/>
                <w:lang w:val="en-NZ"/>
              </w:rPr>
              <w:t>(</w:t>
            </w:r>
            <w:r w:rsidR="007E7F9F">
              <w:rPr>
                <w:b/>
                <w:bCs/>
                <w:lang w:val="en-NZ"/>
              </w:rPr>
              <w:t>12</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1" w:name="Title_2"/>
            <w:bookmarkEnd w:id="21"/>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6B25B824" w:rsidR="00153292" w:rsidRPr="00962011" w:rsidRDefault="000816D1" w:rsidP="00932C85">
            <w:pPr>
              <w:spacing w:before="180" w:after="180"/>
              <w:rPr>
                <w:lang w:val="en-NZ"/>
              </w:rPr>
            </w:pPr>
            <w:r>
              <w:rPr>
                <w:lang w:val="en-NZ"/>
              </w:rPr>
              <w:t>7</w:t>
            </w:r>
            <w:r w:rsidR="00153292" w:rsidRPr="00962011">
              <w:rPr>
                <w:lang w:val="en-NZ"/>
              </w:rPr>
              <w:t>,</w:t>
            </w:r>
            <w:r>
              <w:rPr>
                <w:lang w:val="en-NZ"/>
              </w:rPr>
              <w:t>512</w:t>
            </w:r>
          </w:p>
        </w:tc>
        <w:tc>
          <w:tcPr>
            <w:tcW w:w="2710" w:type="dxa"/>
            <w:shd w:val="clear" w:color="auto" w:fill="auto"/>
          </w:tcPr>
          <w:p w14:paraId="6463E92A" w14:textId="7A1DB4F3" w:rsidR="00153292" w:rsidRPr="00962011" w:rsidRDefault="000816D1" w:rsidP="00932C85">
            <w:pPr>
              <w:spacing w:before="180" w:after="180"/>
              <w:rPr>
                <w:lang w:val="en-NZ"/>
              </w:rPr>
            </w:pPr>
            <w:r>
              <w:rPr>
                <w:lang w:val="en-NZ"/>
              </w:rPr>
              <w:t>7</w:t>
            </w:r>
            <w:r w:rsidR="00153292" w:rsidRPr="00962011">
              <w:rPr>
                <w:lang w:val="en-NZ"/>
              </w:rPr>
              <w:t>,5</w:t>
            </w:r>
            <w:r>
              <w:rPr>
                <w:lang w:val="en-NZ"/>
              </w:rPr>
              <w:t>24</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6D6A98B6" w:rsidR="00153292" w:rsidRPr="00962011" w:rsidRDefault="000816D1" w:rsidP="00932C85">
            <w:pPr>
              <w:spacing w:before="180" w:after="180"/>
              <w:rPr>
                <w:lang w:val="en-NZ"/>
              </w:rPr>
            </w:pPr>
            <w:r>
              <w:rPr>
                <w:lang w:val="en-NZ"/>
              </w:rPr>
              <w:t>7</w:t>
            </w:r>
            <w:r w:rsidR="00153292" w:rsidRPr="00962011">
              <w:rPr>
                <w:lang w:val="en-NZ"/>
              </w:rPr>
              <w:t>,</w:t>
            </w:r>
            <w:r>
              <w:rPr>
                <w:lang w:val="en-NZ"/>
              </w:rPr>
              <w:t>070</w:t>
            </w:r>
          </w:p>
        </w:tc>
        <w:tc>
          <w:tcPr>
            <w:tcW w:w="2710" w:type="dxa"/>
            <w:shd w:val="clear" w:color="auto" w:fill="auto"/>
          </w:tcPr>
          <w:p w14:paraId="280459D0" w14:textId="659FE150" w:rsidR="00153292" w:rsidRPr="00962011" w:rsidRDefault="00153292" w:rsidP="00932C85">
            <w:pPr>
              <w:spacing w:before="180" w:after="180"/>
              <w:rPr>
                <w:lang w:val="en-NZ"/>
              </w:rPr>
            </w:pPr>
            <w:r w:rsidRPr="00962011">
              <w:rPr>
                <w:lang w:val="en-NZ"/>
              </w:rPr>
              <w:t>(</w:t>
            </w:r>
            <w:r w:rsidR="000816D1">
              <w:rPr>
                <w:lang w:val="en-NZ"/>
              </w:rPr>
              <w:t>1</w:t>
            </w:r>
            <w:r w:rsidRPr="00962011">
              <w:rPr>
                <w:lang w:val="en-NZ"/>
              </w:rPr>
              <w:t>2)</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27935FB3" w:rsidR="00153292" w:rsidRPr="00DA102F" w:rsidRDefault="000816D1" w:rsidP="00932C85">
            <w:pPr>
              <w:spacing w:before="180" w:after="180"/>
              <w:rPr>
                <w:b/>
                <w:bCs/>
                <w:lang w:val="en-NZ"/>
              </w:rPr>
            </w:pPr>
            <w:r>
              <w:rPr>
                <w:b/>
                <w:bCs/>
                <w:lang w:val="en-NZ"/>
              </w:rPr>
              <w:t>1</w:t>
            </w:r>
            <w:r w:rsidR="00153292" w:rsidRPr="00DA102F">
              <w:rPr>
                <w:b/>
                <w:bCs/>
                <w:lang w:val="en-NZ"/>
              </w:rPr>
              <w:t>4,5</w:t>
            </w:r>
            <w:r>
              <w:rPr>
                <w:b/>
                <w:bCs/>
                <w:lang w:val="en-NZ"/>
              </w:rPr>
              <w:t>82</w:t>
            </w:r>
          </w:p>
        </w:tc>
        <w:tc>
          <w:tcPr>
            <w:tcW w:w="2710" w:type="dxa"/>
            <w:shd w:val="clear" w:color="auto" w:fill="auto"/>
          </w:tcPr>
          <w:p w14:paraId="675614C5" w14:textId="257EC035" w:rsidR="00153292" w:rsidRPr="00DA102F" w:rsidRDefault="000816D1" w:rsidP="00932C85">
            <w:pPr>
              <w:spacing w:before="180" w:after="180"/>
              <w:rPr>
                <w:b/>
                <w:bCs/>
                <w:lang w:val="en-NZ"/>
              </w:rPr>
            </w:pPr>
            <w:r>
              <w:rPr>
                <w:b/>
                <w:bCs/>
                <w:lang w:val="en-NZ"/>
              </w:rPr>
              <w:t>7</w:t>
            </w:r>
            <w:r w:rsidR="00153292" w:rsidRPr="00DA102F">
              <w:rPr>
                <w:b/>
                <w:bCs/>
                <w:lang w:val="en-NZ"/>
              </w:rPr>
              <w:t>,</w:t>
            </w:r>
            <w:r>
              <w:rPr>
                <w:b/>
                <w:bCs/>
                <w:lang w:val="en-NZ"/>
              </w:rPr>
              <w:t>512</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2" w:name="Title_3"/>
            <w:bookmarkEnd w:id="22"/>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098F0263" w:rsidR="00153292" w:rsidRPr="00962011" w:rsidRDefault="000816D1" w:rsidP="00FB2041">
            <w:pPr>
              <w:spacing w:before="180" w:after="180"/>
              <w:rPr>
                <w:lang w:val="en-NZ"/>
              </w:rPr>
            </w:pPr>
            <w:r>
              <w:rPr>
                <w:lang w:val="en-NZ"/>
              </w:rPr>
              <w:t>5</w:t>
            </w:r>
            <w:r w:rsidR="00153292" w:rsidRPr="00962011">
              <w:rPr>
                <w:lang w:val="en-NZ"/>
              </w:rPr>
              <w:t>,</w:t>
            </w:r>
            <w:r>
              <w:rPr>
                <w:lang w:val="en-NZ"/>
              </w:rPr>
              <w:t>772</w:t>
            </w:r>
          </w:p>
        </w:tc>
        <w:tc>
          <w:tcPr>
            <w:tcW w:w="2644" w:type="dxa"/>
            <w:shd w:val="clear" w:color="auto" w:fill="auto"/>
          </w:tcPr>
          <w:p w14:paraId="2ECE2DD0" w14:textId="6FB272A3" w:rsidR="00153292" w:rsidRPr="00962011" w:rsidRDefault="00153292" w:rsidP="00FB2041">
            <w:pPr>
              <w:spacing w:before="180" w:after="180"/>
              <w:rPr>
                <w:lang w:val="en-NZ"/>
              </w:rPr>
            </w:pPr>
            <w:r w:rsidRPr="00962011">
              <w:rPr>
                <w:lang w:val="en-NZ"/>
              </w:rPr>
              <w:t>7</w:t>
            </w:r>
            <w:r w:rsidR="000816D1">
              <w:rPr>
                <w:lang w:val="en-NZ"/>
              </w:rPr>
              <w:t>21</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6670997C" w:rsidR="00153292" w:rsidRPr="00962011" w:rsidRDefault="000816D1" w:rsidP="00FB2041">
            <w:pPr>
              <w:spacing w:before="180" w:after="180"/>
              <w:rPr>
                <w:lang w:val="en-NZ"/>
              </w:rPr>
            </w:pPr>
            <w:r>
              <w:rPr>
                <w:lang w:val="en-NZ"/>
              </w:rPr>
              <w:t>9</w:t>
            </w:r>
            <w:r w:rsidR="00153292" w:rsidRPr="00962011">
              <w:rPr>
                <w:lang w:val="en-NZ"/>
              </w:rPr>
              <w:t>,</w:t>
            </w:r>
            <w:r>
              <w:rPr>
                <w:lang w:val="en-NZ"/>
              </w:rPr>
              <w:t>67</w:t>
            </w:r>
            <w:r w:rsidR="00153292" w:rsidRPr="00962011">
              <w:rPr>
                <w:lang w:val="en-NZ"/>
              </w:rPr>
              <w:t>8</w:t>
            </w:r>
          </w:p>
        </w:tc>
        <w:tc>
          <w:tcPr>
            <w:tcW w:w="2644" w:type="dxa"/>
            <w:shd w:val="clear" w:color="auto" w:fill="auto"/>
          </w:tcPr>
          <w:p w14:paraId="1E1A194F" w14:textId="6D3EAC2C" w:rsidR="00153292" w:rsidRPr="00962011" w:rsidRDefault="000816D1" w:rsidP="00FB2041">
            <w:pPr>
              <w:spacing w:before="180" w:after="180"/>
              <w:rPr>
                <w:lang w:val="en-NZ"/>
              </w:rPr>
            </w:pPr>
            <w:r>
              <w:rPr>
                <w:lang w:val="en-NZ"/>
              </w:rPr>
              <w:t>7</w:t>
            </w:r>
            <w:r w:rsidR="00153292" w:rsidRPr="00962011">
              <w:rPr>
                <w:lang w:val="en-NZ"/>
              </w:rPr>
              <w:t>,</w:t>
            </w:r>
            <w:r>
              <w:rPr>
                <w:lang w:val="en-NZ"/>
              </w:rPr>
              <w:t>486</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2106EC6C" w:rsidR="00153292" w:rsidRPr="00962011" w:rsidRDefault="000816D1" w:rsidP="00FB2041">
            <w:pPr>
              <w:spacing w:before="180" w:after="180"/>
              <w:rPr>
                <w:b/>
                <w:bCs/>
                <w:lang w:val="en-NZ"/>
              </w:rPr>
            </w:pPr>
            <w:r>
              <w:rPr>
                <w:b/>
                <w:bCs/>
                <w:lang w:val="en-NZ"/>
              </w:rPr>
              <w:t>1</w:t>
            </w:r>
            <w:r w:rsidR="00153292" w:rsidRPr="00962011">
              <w:rPr>
                <w:b/>
                <w:bCs/>
                <w:lang w:val="en-NZ"/>
              </w:rPr>
              <w:t>5,</w:t>
            </w:r>
            <w:r>
              <w:rPr>
                <w:b/>
                <w:bCs/>
                <w:lang w:val="en-NZ"/>
              </w:rPr>
              <w:t>450</w:t>
            </w:r>
          </w:p>
        </w:tc>
        <w:tc>
          <w:tcPr>
            <w:tcW w:w="2644" w:type="dxa"/>
            <w:shd w:val="clear" w:color="auto" w:fill="auto"/>
          </w:tcPr>
          <w:p w14:paraId="09A02335" w14:textId="75D3FCD8" w:rsidR="00153292" w:rsidRPr="00962011" w:rsidRDefault="000816D1" w:rsidP="00FB2041">
            <w:pPr>
              <w:spacing w:before="180" w:after="180"/>
              <w:rPr>
                <w:b/>
                <w:bCs/>
                <w:lang w:val="en-NZ"/>
              </w:rPr>
            </w:pPr>
            <w:r>
              <w:rPr>
                <w:b/>
                <w:bCs/>
                <w:lang w:val="en-NZ"/>
              </w:rPr>
              <w:t>8</w:t>
            </w:r>
            <w:r w:rsidR="00153292" w:rsidRPr="00962011">
              <w:rPr>
                <w:b/>
                <w:bCs/>
                <w:lang w:val="en-NZ"/>
              </w:rPr>
              <w:t>,</w:t>
            </w:r>
            <w:r>
              <w:rPr>
                <w:b/>
                <w:bCs/>
                <w:lang w:val="en-NZ"/>
              </w:rPr>
              <w:t>207</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08037CA0" w:rsidR="00153292" w:rsidRPr="00962011" w:rsidRDefault="000816D1" w:rsidP="00FB2041">
            <w:pPr>
              <w:spacing w:before="180" w:after="180"/>
              <w:rPr>
                <w:lang w:val="en-NZ"/>
              </w:rPr>
            </w:pPr>
            <w:r>
              <w:rPr>
                <w:lang w:val="en-NZ"/>
              </w:rPr>
              <w:t>868</w:t>
            </w:r>
          </w:p>
        </w:tc>
        <w:tc>
          <w:tcPr>
            <w:tcW w:w="2644" w:type="dxa"/>
            <w:shd w:val="clear" w:color="auto" w:fill="auto"/>
          </w:tcPr>
          <w:p w14:paraId="040CBB6B" w14:textId="795D70C5" w:rsidR="00153292" w:rsidRPr="00962011" w:rsidRDefault="000816D1" w:rsidP="00FB2041">
            <w:pPr>
              <w:spacing w:before="180" w:after="180"/>
              <w:rPr>
                <w:lang w:val="en-NZ"/>
              </w:rPr>
            </w:pPr>
            <w:r>
              <w:rPr>
                <w:lang w:val="en-NZ"/>
              </w:rPr>
              <w:t>695</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1B2EC3B9" w:rsidR="00153292" w:rsidRPr="00962011" w:rsidRDefault="000816D1" w:rsidP="00FB2041">
            <w:pPr>
              <w:spacing w:before="180" w:after="180"/>
              <w:rPr>
                <w:b/>
                <w:bCs/>
                <w:lang w:val="en-NZ"/>
              </w:rPr>
            </w:pPr>
            <w:r>
              <w:rPr>
                <w:b/>
                <w:bCs/>
                <w:lang w:val="en-NZ"/>
              </w:rPr>
              <w:t>868</w:t>
            </w:r>
          </w:p>
        </w:tc>
        <w:tc>
          <w:tcPr>
            <w:tcW w:w="2644" w:type="dxa"/>
            <w:shd w:val="clear" w:color="auto" w:fill="auto"/>
          </w:tcPr>
          <w:p w14:paraId="72E21526" w14:textId="11487E47" w:rsidR="00153292" w:rsidRPr="00962011" w:rsidRDefault="000816D1" w:rsidP="00FB2041">
            <w:pPr>
              <w:spacing w:before="180" w:after="180"/>
              <w:rPr>
                <w:b/>
                <w:bCs/>
                <w:lang w:val="en-NZ"/>
              </w:rPr>
            </w:pPr>
            <w:r>
              <w:rPr>
                <w:b/>
                <w:bCs/>
                <w:lang w:val="en-NZ"/>
              </w:rPr>
              <w:t>695</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4DE4C353" w:rsidR="00153292" w:rsidRPr="00962011" w:rsidRDefault="000816D1" w:rsidP="00FB2041">
            <w:pPr>
              <w:spacing w:before="180" w:after="180"/>
              <w:rPr>
                <w:b/>
                <w:bCs/>
                <w:lang w:val="en-NZ"/>
              </w:rPr>
            </w:pPr>
            <w:r>
              <w:rPr>
                <w:b/>
                <w:bCs/>
                <w:lang w:val="en-NZ"/>
              </w:rPr>
              <w:t>1</w:t>
            </w:r>
            <w:r w:rsidR="00153292" w:rsidRPr="00962011">
              <w:rPr>
                <w:b/>
                <w:bCs/>
                <w:lang w:val="en-NZ"/>
              </w:rPr>
              <w:t>4,</w:t>
            </w:r>
            <w:r>
              <w:rPr>
                <w:b/>
                <w:bCs/>
                <w:lang w:val="en-NZ"/>
              </w:rPr>
              <w:t>582</w:t>
            </w:r>
          </w:p>
        </w:tc>
        <w:tc>
          <w:tcPr>
            <w:tcW w:w="2644" w:type="dxa"/>
            <w:shd w:val="clear" w:color="auto" w:fill="auto"/>
          </w:tcPr>
          <w:p w14:paraId="30B0E656" w14:textId="3C7430E5" w:rsidR="00153292" w:rsidRPr="00962011" w:rsidRDefault="000816D1" w:rsidP="00FB2041">
            <w:pPr>
              <w:spacing w:before="180" w:after="180"/>
              <w:rPr>
                <w:b/>
                <w:bCs/>
                <w:lang w:val="en-NZ"/>
              </w:rPr>
            </w:pPr>
            <w:r>
              <w:rPr>
                <w:b/>
                <w:bCs/>
                <w:lang w:val="en-NZ"/>
              </w:rPr>
              <w:t>7</w:t>
            </w:r>
            <w:r w:rsidR="00153292" w:rsidRPr="00962011">
              <w:rPr>
                <w:b/>
                <w:bCs/>
                <w:lang w:val="en-NZ"/>
              </w:rPr>
              <w:t>,</w:t>
            </w:r>
            <w:r>
              <w:rPr>
                <w:b/>
                <w:bCs/>
                <w:lang w:val="en-NZ"/>
              </w:rPr>
              <w:t>512</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452C83FD" w:rsidR="00153292" w:rsidRPr="00962011" w:rsidRDefault="000816D1" w:rsidP="00FB2041">
            <w:pPr>
              <w:spacing w:before="180" w:after="180"/>
              <w:rPr>
                <w:b/>
                <w:bCs/>
                <w:lang w:val="en-NZ"/>
              </w:rPr>
            </w:pPr>
            <w:r>
              <w:rPr>
                <w:b/>
                <w:bCs/>
                <w:lang w:val="en-NZ"/>
              </w:rPr>
              <w:t>1</w:t>
            </w:r>
            <w:r w:rsidR="00153292" w:rsidRPr="00962011">
              <w:rPr>
                <w:b/>
                <w:bCs/>
                <w:lang w:val="en-NZ"/>
              </w:rPr>
              <w:t>4,</w:t>
            </w:r>
            <w:r>
              <w:rPr>
                <w:b/>
                <w:bCs/>
                <w:lang w:val="en-NZ"/>
              </w:rPr>
              <w:t>582</w:t>
            </w:r>
          </w:p>
        </w:tc>
        <w:tc>
          <w:tcPr>
            <w:tcW w:w="2644" w:type="dxa"/>
            <w:shd w:val="clear" w:color="auto" w:fill="auto"/>
          </w:tcPr>
          <w:p w14:paraId="62EB2916" w14:textId="11B1B8B7" w:rsidR="00153292" w:rsidRPr="00962011" w:rsidRDefault="000816D1" w:rsidP="00FB2041">
            <w:pPr>
              <w:spacing w:before="180" w:after="180"/>
              <w:rPr>
                <w:b/>
                <w:bCs/>
                <w:lang w:val="en-NZ"/>
              </w:rPr>
            </w:pPr>
            <w:r>
              <w:rPr>
                <w:b/>
                <w:bCs/>
                <w:lang w:val="en-NZ"/>
              </w:rPr>
              <w:t>7</w:t>
            </w:r>
            <w:r w:rsidR="00153292" w:rsidRPr="00962011">
              <w:rPr>
                <w:b/>
                <w:bCs/>
                <w:lang w:val="en-NZ"/>
              </w:rPr>
              <w:t>,</w:t>
            </w:r>
            <w:r w:rsidR="00727CAF">
              <w:rPr>
                <w:b/>
                <w:bCs/>
                <w:lang w:val="en-NZ"/>
              </w:rPr>
              <w:t>512</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3" w:name="Title_4"/>
            <w:bookmarkEnd w:id="2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11815A17" w:rsidR="00153292" w:rsidRPr="00962011" w:rsidRDefault="00727CAF" w:rsidP="00C71283">
            <w:pPr>
              <w:spacing w:before="180" w:after="180"/>
              <w:rPr>
                <w:lang w:val="en-NZ"/>
              </w:rPr>
            </w:pPr>
            <w:r>
              <w:rPr>
                <w:lang w:val="en-NZ"/>
              </w:rPr>
              <w:t>2,749</w:t>
            </w:r>
          </w:p>
        </w:tc>
        <w:tc>
          <w:tcPr>
            <w:tcW w:w="2506" w:type="dxa"/>
            <w:shd w:val="clear" w:color="auto" w:fill="auto"/>
          </w:tcPr>
          <w:p w14:paraId="30C9245C" w14:textId="1072A5B1" w:rsidR="00153292" w:rsidRPr="00962011" w:rsidRDefault="00153292" w:rsidP="00C71283">
            <w:pPr>
              <w:spacing w:before="180" w:after="180"/>
              <w:rPr>
                <w:lang w:val="en-NZ"/>
              </w:rPr>
            </w:pPr>
            <w:r w:rsidRPr="00962011">
              <w:rPr>
                <w:lang w:val="en-NZ"/>
              </w:rPr>
              <w:t>2</w:t>
            </w:r>
            <w:r w:rsidR="00727CAF">
              <w:rPr>
                <w:lang w:val="en-NZ"/>
              </w:rPr>
              <w:t>47</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2A6A39F8" w:rsidR="00153292" w:rsidRPr="00962011" w:rsidRDefault="00727CAF" w:rsidP="00C71283">
            <w:pPr>
              <w:spacing w:before="180" w:after="180"/>
              <w:rPr>
                <w:lang w:val="en-NZ"/>
              </w:rPr>
            </w:pPr>
            <w:r>
              <w:rPr>
                <w:lang w:val="en-NZ"/>
              </w:rPr>
              <w:t>(2</w:t>
            </w:r>
            <w:r w:rsidR="00153292" w:rsidRPr="00962011">
              <w:rPr>
                <w:lang w:val="en-NZ"/>
              </w:rPr>
              <w:t>,</w:t>
            </w:r>
            <w:r>
              <w:rPr>
                <w:lang w:val="en-NZ"/>
              </w:rPr>
              <w:t>690)</w:t>
            </w:r>
          </w:p>
        </w:tc>
        <w:tc>
          <w:tcPr>
            <w:tcW w:w="2506" w:type="dxa"/>
            <w:shd w:val="clear" w:color="auto" w:fill="auto"/>
          </w:tcPr>
          <w:p w14:paraId="5EDE3CE2" w14:textId="12A636ED" w:rsidR="00153292" w:rsidRPr="00962011" w:rsidRDefault="00153292" w:rsidP="00C71283">
            <w:pPr>
              <w:spacing w:before="180" w:after="180"/>
              <w:rPr>
                <w:lang w:val="en-NZ"/>
              </w:rPr>
            </w:pPr>
            <w:r w:rsidRPr="00962011">
              <w:rPr>
                <w:lang w:val="en-NZ"/>
              </w:rPr>
              <w:t>(</w:t>
            </w:r>
            <w:r w:rsidR="00727CAF">
              <w:rPr>
                <w:lang w:val="en-NZ"/>
              </w:rPr>
              <w:t>289</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496E4BB8" w:rsidR="00153292" w:rsidRPr="00962011" w:rsidRDefault="00727CAF"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17E1823B" w:rsidR="00153292" w:rsidRPr="00962011" w:rsidRDefault="00727CAF" w:rsidP="00C71283">
            <w:pPr>
              <w:spacing w:before="180" w:after="180"/>
              <w:rPr>
                <w:lang w:val="en-NZ"/>
              </w:rPr>
            </w:pPr>
            <w:r>
              <w:rPr>
                <w:lang w:val="en-NZ"/>
              </w:rPr>
              <w:t>121</w:t>
            </w:r>
          </w:p>
        </w:tc>
        <w:tc>
          <w:tcPr>
            <w:tcW w:w="2506" w:type="dxa"/>
            <w:shd w:val="clear" w:color="auto" w:fill="auto"/>
          </w:tcPr>
          <w:p w14:paraId="522911A5" w14:textId="58CD8B3F" w:rsidR="00153292" w:rsidRPr="00962011" w:rsidRDefault="00727CAF" w:rsidP="00C71283">
            <w:pPr>
              <w:spacing w:before="180" w:after="180"/>
              <w:rPr>
                <w:lang w:val="en-NZ"/>
              </w:rPr>
            </w:pPr>
            <w:r>
              <w:rPr>
                <w:lang w:val="en-NZ"/>
              </w:rPr>
              <w:t>163</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1CE2191C" w:rsidR="00153292" w:rsidRPr="00962011" w:rsidRDefault="00727CAF" w:rsidP="00C71283">
            <w:pPr>
              <w:spacing w:before="180" w:after="180"/>
              <w:rPr>
                <w:b/>
                <w:bCs/>
                <w:lang w:val="en-NZ"/>
              </w:rPr>
            </w:pPr>
            <w:r>
              <w:rPr>
                <w:b/>
                <w:bCs/>
                <w:lang w:val="en-NZ"/>
              </w:rPr>
              <w:t>180</w:t>
            </w:r>
          </w:p>
        </w:tc>
        <w:tc>
          <w:tcPr>
            <w:tcW w:w="2506" w:type="dxa"/>
            <w:shd w:val="clear" w:color="auto" w:fill="auto"/>
          </w:tcPr>
          <w:p w14:paraId="5FDD6B44" w14:textId="497821E1" w:rsidR="00153292" w:rsidRPr="00962011" w:rsidRDefault="00727CAF" w:rsidP="00C71283">
            <w:pPr>
              <w:spacing w:before="180" w:after="180"/>
              <w:rPr>
                <w:b/>
                <w:bCs/>
                <w:lang w:val="en-NZ"/>
              </w:rPr>
            </w:pPr>
            <w:r>
              <w:rPr>
                <w:b/>
                <w:bCs/>
                <w:lang w:val="en-NZ"/>
              </w:rPr>
              <w:t>121</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0B5728BC" w14:textId="77777777" w:rsidR="00606836" w:rsidRPr="00606836" w:rsidRDefault="00606836" w:rsidP="00606836">
      <w:pPr>
        <w:rPr>
          <w:lang w:val="en-NZ"/>
        </w:rPr>
      </w:pPr>
      <w:r w:rsidRPr="00606836">
        <w:rPr>
          <w:lang w:val="en-NZ"/>
        </w:rPr>
        <w:t>A summary of the CCS Disability Action Waikato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749CFD76" w14:textId="063B7ADD" w:rsidR="00606836" w:rsidRPr="00606836" w:rsidRDefault="00606836" w:rsidP="00606836">
      <w:pPr>
        <w:rPr>
          <w:lang w:val="en-NZ"/>
        </w:rPr>
      </w:pPr>
      <w:r w:rsidRPr="00606836">
        <w:rPr>
          <w:lang w:val="en-NZ"/>
        </w:rPr>
        <w:t>The full financial statements have been prepared in accordance with Tier 2 PBE Accounting Standards as issued by the New Zealand External Reporting Board. The summary financial statements are presented in New Zealand dollars.</w:t>
      </w:r>
    </w:p>
    <w:p w14:paraId="75E24092" w14:textId="43B9681E" w:rsidR="00606836" w:rsidRPr="00606836" w:rsidRDefault="00606836" w:rsidP="00606836">
      <w:pPr>
        <w:rPr>
          <w:lang w:val="en-NZ"/>
        </w:rPr>
      </w:pPr>
      <w:r w:rsidRPr="00606836">
        <w:rPr>
          <w:lang w:val="en-NZ"/>
        </w:rPr>
        <w:t>The amounts stated in these summary financial statements have been extracted from the full financial statements of the Society dated 6 November 2023.</w:t>
      </w:r>
    </w:p>
    <w:p w14:paraId="7A516D2F" w14:textId="29EF23B0" w:rsidR="00606836" w:rsidRPr="00606836" w:rsidRDefault="00606836" w:rsidP="00606836">
      <w:pPr>
        <w:rPr>
          <w:lang w:val="en-NZ"/>
        </w:rPr>
      </w:pPr>
      <w:r w:rsidRPr="00606836">
        <w:rPr>
          <w:lang w:val="en-NZ"/>
        </w:rPr>
        <w:t xml:space="preserve">Copies of these are available from the Society. This summary has been authorised by Colene Herbert, </w:t>
      </w:r>
      <w:r w:rsidRPr="00606836">
        <w:rPr>
          <w:lang w:val="en-NZ"/>
        </w:rPr>
        <w:lastRenderedPageBreak/>
        <w:t>general manager Midland region on 6 November 2023 and has not been audited.</w:t>
      </w:r>
    </w:p>
    <w:p w14:paraId="20D69944" w14:textId="77777777" w:rsidR="00606836" w:rsidRPr="00606836" w:rsidRDefault="00606836" w:rsidP="00606836">
      <w:pPr>
        <w:rPr>
          <w:lang w:val="en-NZ"/>
        </w:rPr>
      </w:pPr>
      <w:r w:rsidRPr="00606836">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5E52184E" w:rsidR="00153292" w:rsidRPr="00962011" w:rsidRDefault="00606836" w:rsidP="00606836">
      <w:pPr>
        <w:rPr>
          <w:lang w:val="en-NZ"/>
        </w:rPr>
      </w:pPr>
      <w:r w:rsidRPr="00606836">
        <w:rPr>
          <w:lang w:val="en-NZ"/>
        </w:rPr>
        <w:t>The summarised financial statements should be read in conjunction with the statement of accounting policies and notes to the full unaudited financial statements.</w:t>
      </w:r>
    </w:p>
    <w:p w14:paraId="186DC2DC" w14:textId="36E79087" w:rsidR="00153292" w:rsidRPr="00962011" w:rsidRDefault="00826C3C" w:rsidP="00734AF2">
      <w:pPr>
        <w:rPr>
          <w:lang w:val="en-NZ"/>
        </w:rPr>
      </w:pPr>
      <w:r w:rsidRPr="00826C3C">
        <w:rPr>
          <w:b/>
          <w:bCs/>
          <w:lang w:val="en-NZ"/>
        </w:rPr>
        <w:t>Colene Herbert</w:t>
      </w:r>
      <w:r w:rsidR="009D0E6F" w:rsidRPr="00962011">
        <w:rPr>
          <w:b/>
          <w:bCs/>
          <w:lang w:val="en-NZ"/>
        </w:rPr>
        <w:br/>
      </w:r>
      <w:r w:rsidR="00CC6237" w:rsidRPr="00962011">
        <w:rPr>
          <w:lang w:val="en-NZ"/>
        </w:rPr>
        <w:t>General manager</w:t>
      </w:r>
    </w:p>
    <w:p w14:paraId="76FBABFC" w14:textId="776E7C1F" w:rsidR="00CC6237" w:rsidRPr="00962011" w:rsidRDefault="00826C3C" w:rsidP="00CC6237">
      <w:pPr>
        <w:rPr>
          <w:lang w:val="en-NZ"/>
        </w:rPr>
      </w:pPr>
      <w:r w:rsidRPr="00826C3C">
        <w:rPr>
          <w:b/>
          <w:bCs/>
          <w:lang w:val="en-NZ"/>
        </w:rPr>
        <w:t>Mike Garrett</w:t>
      </w:r>
      <w:r w:rsidR="009D0E6F" w:rsidRPr="00962011">
        <w:rPr>
          <w:b/>
          <w:bCs/>
          <w:lang w:val="en-NZ"/>
        </w:rPr>
        <w:br/>
      </w:r>
      <w:r w:rsidR="00CC6237" w:rsidRPr="00962011">
        <w:rPr>
          <w:lang w:val="en-NZ"/>
        </w:rPr>
        <w:t>Chairperson</w:t>
      </w:r>
      <w:r w:rsidR="009D0E6F" w:rsidRPr="00962011">
        <w:rPr>
          <w:lang w:val="en-NZ"/>
        </w:rPr>
        <w:br/>
      </w:r>
      <w:r w:rsidR="00CC6237" w:rsidRPr="00962011">
        <w:rPr>
          <w:lang w:val="en-NZ"/>
        </w:rPr>
        <w:t>local executive committee</w:t>
      </w:r>
    </w:p>
    <w:p w14:paraId="5E463271" w14:textId="77777777" w:rsidR="00D61CB2" w:rsidRDefault="00CC6237" w:rsidP="007B744B">
      <w:pPr>
        <w:pStyle w:val="H1Maori"/>
      </w:pPr>
      <w:bookmarkStart w:id="24" w:name="_Toc156473606"/>
      <w:bookmarkStart w:id="25" w:name="_Toc157079887"/>
      <w:r w:rsidRPr="00962011">
        <w:lastRenderedPageBreak/>
        <w:t>Ō mātou kaitautoko</w:t>
      </w:r>
      <w:bookmarkEnd w:id="25"/>
    </w:p>
    <w:p w14:paraId="5743789B" w14:textId="4609F969" w:rsidR="00CC6237" w:rsidRPr="00962011" w:rsidRDefault="00CC6237" w:rsidP="007C3383">
      <w:pPr>
        <w:pStyle w:val="Heading1"/>
        <w:rPr>
          <w:lang w:val="en-NZ"/>
        </w:rPr>
      </w:pPr>
      <w:bookmarkStart w:id="26" w:name="_Toc157079888"/>
      <w:r w:rsidRPr="00962011">
        <w:rPr>
          <w:lang w:val="en-NZ"/>
        </w:rPr>
        <w:t>Our supporters</w:t>
      </w:r>
      <w:bookmarkEnd w:id="24"/>
      <w:bookmarkEnd w:id="26"/>
    </w:p>
    <w:p w14:paraId="043ED76D" w14:textId="7E76542C" w:rsidR="00CC6237" w:rsidRPr="00962011" w:rsidRDefault="00CC6237" w:rsidP="00CC6237">
      <w:pPr>
        <w:rPr>
          <w:sz w:val="40"/>
          <w:szCs w:val="40"/>
          <w:lang w:val="en-NZ"/>
        </w:rPr>
      </w:pPr>
      <w:r w:rsidRPr="00962011">
        <w:rPr>
          <w:sz w:val="40"/>
          <w:szCs w:val="40"/>
          <w:lang w:val="en-NZ"/>
        </w:rPr>
        <w:t xml:space="preserve">CCS Disability Action </w:t>
      </w:r>
      <w:r w:rsidR="00367A0F" w:rsidRPr="00367A0F">
        <w:rPr>
          <w:sz w:val="40"/>
          <w:szCs w:val="40"/>
          <w:lang w:val="en-NZ"/>
        </w:rPr>
        <w:t>Waikato</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61FF8A45" w14:textId="77777777" w:rsidR="00367A0F" w:rsidRPr="00621870" w:rsidRDefault="00367A0F" w:rsidP="00367A0F">
      <w:pPr>
        <w:pStyle w:val="ListParagraph"/>
        <w:numPr>
          <w:ilvl w:val="0"/>
          <w:numId w:val="10"/>
        </w:numPr>
        <w:rPr>
          <w:lang w:val="mi-NZ"/>
        </w:rPr>
      </w:pPr>
      <w:r w:rsidRPr="00621870">
        <w:rPr>
          <w:lang w:val="mi-NZ"/>
        </w:rPr>
        <w:t>Te Whatu Ora</w:t>
      </w:r>
    </w:p>
    <w:p w14:paraId="6A78F4C7" w14:textId="70015535" w:rsidR="00CC6237" w:rsidRPr="00962011" w:rsidRDefault="00CC6237" w:rsidP="00602E4B">
      <w:pPr>
        <w:pStyle w:val="ListParagraph"/>
        <w:numPr>
          <w:ilvl w:val="0"/>
          <w:numId w:val="10"/>
        </w:numPr>
        <w:rPr>
          <w:lang w:val="en-NZ"/>
        </w:rPr>
      </w:pPr>
      <w:r w:rsidRPr="00962011">
        <w:rPr>
          <w:lang w:val="en-NZ"/>
        </w:rPr>
        <w:t>Ministry of Social Development</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27BB6947" w14:textId="48C009AB" w:rsidR="00353644" w:rsidRPr="00353644" w:rsidRDefault="00353644" w:rsidP="00353644">
      <w:pPr>
        <w:pStyle w:val="ListParagraph"/>
        <w:numPr>
          <w:ilvl w:val="0"/>
          <w:numId w:val="11"/>
        </w:numPr>
        <w:rPr>
          <w:lang w:val="en-NZ"/>
        </w:rPr>
      </w:pPr>
      <w:r w:rsidRPr="00353644">
        <w:rPr>
          <w:lang w:val="en-NZ"/>
        </w:rPr>
        <w:t>Mavis Beamish Estate</w:t>
      </w:r>
    </w:p>
    <w:p w14:paraId="5BC27F7D" w14:textId="48BEE9DC" w:rsidR="00353644" w:rsidRPr="00353644" w:rsidRDefault="00353644" w:rsidP="00353644">
      <w:pPr>
        <w:pStyle w:val="ListParagraph"/>
        <w:numPr>
          <w:ilvl w:val="0"/>
          <w:numId w:val="11"/>
        </w:numPr>
        <w:rPr>
          <w:lang w:val="en-NZ"/>
        </w:rPr>
      </w:pPr>
      <w:r w:rsidRPr="00353644">
        <w:rPr>
          <w:lang w:val="en-NZ"/>
        </w:rPr>
        <w:t xml:space="preserve">F </w:t>
      </w:r>
      <w:proofErr w:type="spellStart"/>
      <w:r w:rsidRPr="00353644">
        <w:rPr>
          <w:lang w:val="en-NZ"/>
        </w:rPr>
        <w:t>Brunskill</w:t>
      </w:r>
      <w:proofErr w:type="spellEnd"/>
      <w:r w:rsidRPr="00353644">
        <w:rPr>
          <w:lang w:val="en-NZ"/>
        </w:rPr>
        <w:t xml:space="preserve"> Estate</w:t>
      </w:r>
    </w:p>
    <w:p w14:paraId="03018DF5" w14:textId="305FB5C3" w:rsidR="00CC6237" w:rsidRPr="00962011" w:rsidRDefault="00353644" w:rsidP="00353644">
      <w:pPr>
        <w:pStyle w:val="ListParagraph"/>
        <w:numPr>
          <w:ilvl w:val="0"/>
          <w:numId w:val="11"/>
        </w:numPr>
        <w:rPr>
          <w:lang w:val="en-NZ"/>
        </w:rPr>
      </w:pPr>
      <w:r w:rsidRPr="00353644">
        <w:rPr>
          <w:lang w:val="en-NZ"/>
        </w:rPr>
        <w:t>B E George Estate</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1DA1EAD4" w14:textId="2834295F" w:rsidR="00353644" w:rsidRPr="00353644" w:rsidRDefault="00353644" w:rsidP="00353644">
      <w:pPr>
        <w:pStyle w:val="ListParagraph"/>
        <w:numPr>
          <w:ilvl w:val="0"/>
          <w:numId w:val="12"/>
        </w:numPr>
        <w:rPr>
          <w:lang w:val="en-NZ"/>
        </w:rPr>
      </w:pPr>
      <w:r w:rsidRPr="00353644">
        <w:rPr>
          <w:lang w:val="en-NZ"/>
        </w:rPr>
        <w:t>Dragon Community Trust</w:t>
      </w:r>
    </w:p>
    <w:p w14:paraId="67BA83B5" w14:textId="23463F2E" w:rsidR="00353644" w:rsidRPr="00353644" w:rsidRDefault="00353644" w:rsidP="00353644">
      <w:pPr>
        <w:pStyle w:val="ListParagraph"/>
        <w:numPr>
          <w:ilvl w:val="0"/>
          <w:numId w:val="12"/>
        </w:numPr>
        <w:rPr>
          <w:lang w:val="en-NZ"/>
        </w:rPr>
      </w:pPr>
      <w:r w:rsidRPr="00353644">
        <w:rPr>
          <w:lang w:val="en-NZ"/>
        </w:rPr>
        <w:t>Gemini Trust</w:t>
      </w:r>
    </w:p>
    <w:p w14:paraId="795B9589" w14:textId="6C411184" w:rsidR="00353644" w:rsidRPr="00353644" w:rsidRDefault="00353644" w:rsidP="00353644">
      <w:pPr>
        <w:pStyle w:val="ListParagraph"/>
        <w:numPr>
          <w:ilvl w:val="0"/>
          <w:numId w:val="12"/>
        </w:numPr>
        <w:rPr>
          <w:lang w:val="en-NZ"/>
        </w:rPr>
      </w:pPr>
      <w:r w:rsidRPr="00353644">
        <w:rPr>
          <w:lang w:val="en-NZ"/>
        </w:rPr>
        <w:t>Grassroots Trust</w:t>
      </w:r>
    </w:p>
    <w:p w14:paraId="4984A05B" w14:textId="0AD616B7" w:rsidR="00353644" w:rsidRPr="00353644" w:rsidRDefault="00353644" w:rsidP="00353644">
      <w:pPr>
        <w:pStyle w:val="ListParagraph"/>
        <w:numPr>
          <w:ilvl w:val="0"/>
          <w:numId w:val="12"/>
        </w:numPr>
        <w:rPr>
          <w:lang w:val="en-NZ"/>
        </w:rPr>
      </w:pPr>
      <w:r w:rsidRPr="00353644">
        <w:rPr>
          <w:lang w:val="en-NZ"/>
        </w:rPr>
        <w:t>H E Fairey Trust</w:t>
      </w:r>
    </w:p>
    <w:p w14:paraId="0B5E7D2A" w14:textId="65DF86C1" w:rsidR="00CC6237" w:rsidRDefault="00353644" w:rsidP="00353644">
      <w:pPr>
        <w:pStyle w:val="ListParagraph"/>
        <w:numPr>
          <w:ilvl w:val="0"/>
          <w:numId w:val="12"/>
        </w:numPr>
        <w:rPr>
          <w:lang w:val="en-NZ"/>
        </w:rPr>
      </w:pPr>
      <w:r w:rsidRPr="00353644">
        <w:rPr>
          <w:lang w:val="en-NZ"/>
        </w:rPr>
        <w:t>Laurie and Mabel Jenkins</w:t>
      </w:r>
      <w:r>
        <w:rPr>
          <w:lang w:val="en-NZ"/>
        </w:rPr>
        <w:t xml:space="preserve"> </w:t>
      </w:r>
      <w:r w:rsidRPr="00353644">
        <w:rPr>
          <w:lang w:val="en-NZ"/>
        </w:rPr>
        <w:t>Charitable Trust</w:t>
      </w:r>
    </w:p>
    <w:p w14:paraId="3BC8BF65" w14:textId="2BE72856" w:rsidR="00353644" w:rsidRPr="00353644" w:rsidRDefault="00353644" w:rsidP="00353644">
      <w:pPr>
        <w:pStyle w:val="ListParagraph"/>
        <w:numPr>
          <w:ilvl w:val="0"/>
          <w:numId w:val="12"/>
        </w:numPr>
        <w:rPr>
          <w:lang w:val="en-NZ"/>
        </w:rPr>
      </w:pPr>
      <w:r w:rsidRPr="00353644">
        <w:rPr>
          <w:lang w:val="en-NZ"/>
        </w:rPr>
        <w:t>Len Reynolds Trust</w:t>
      </w:r>
    </w:p>
    <w:p w14:paraId="1F6360E2" w14:textId="3C2B0312" w:rsidR="00353644" w:rsidRPr="00353644" w:rsidRDefault="00353644" w:rsidP="00353644">
      <w:pPr>
        <w:pStyle w:val="ListParagraph"/>
        <w:numPr>
          <w:ilvl w:val="0"/>
          <w:numId w:val="12"/>
        </w:numPr>
        <w:rPr>
          <w:lang w:val="en-NZ"/>
        </w:rPr>
      </w:pPr>
      <w:r w:rsidRPr="00353644">
        <w:rPr>
          <w:lang w:val="en-NZ"/>
        </w:rPr>
        <w:t>NZ Lottery Grants Board, $22,500 operating costs, and $747 toy library</w:t>
      </w:r>
    </w:p>
    <w:p w14:paraId="428873C0" w14:textId="7BD02309" w:rsidR="00353644" w:rsidRPr="00353644" w:rsidRDefault="00353644" w:rsidP="00353644">
      <w:pPr>
        <w:pStyle w:val="ListParagraph"/>
        <w:numPr>
          <w:ilvl w:val="0"/>
          <w:numId w:val="12"/>
        </w:numPr>
        <w:rPr>
          <w:lang w:val="en-NZ"/>
        </w:rPr>
      </w:pPr>
      <w:r w:rsidRPr="00353644">
        <w:rPr>
          <w:lang w:val="en-NZ"/>
        </w:rPr>
        <w:t>The Lion Foundation</w:t>
      </w:r>
    </w:p>
    <w:p w14:paraId="5FBA0925" w14:textId="0BB43BD1" w:rsidR="00353644" w:rsidRPr="00962011" w:rsidRDefault="00353644" w:rsidP="00353644">
      <w:pPr>
        <w:pStyle w:val="ListParagraph"/>
        <w:numPr>
          <w:ilvl w:val="0"/>
          <w:numId w:val="12"/>
        </w:numPr>
        <w:rPr>
          <w:lang w:val="en-NZ"/>
        </w:rPr>
      </w:pPr>
      <w:proofErr w:type="spellStart"/>
      <w:r w:rsidRPr="00353644">
        <w:rPr>
          <w:lang w:val="en-NZ"/>
        </w:rPr>
        <w:t>Valder</w:t>
      </w:r>
      <w:proofErr w:type="spellEnd"/>
      <w:r w:rsidRPr="00353644">
        <w:rPr>
          <w:lang w:val="en-NZ"/>
        </w:rPr>
        <w:t xml:space="preserve"> </w:t>
      </w:r>
      <w:proofErr w:type="spellStart"/>
      <w:r w:rsidRPr="00353644">
        <w:rPr>
          <w:lang w:val="en-NZ"/>
        </w:rPr>
        <w:t>Ohinemuri</w:t>
      </w:r>
      <w:proofErr w:type="spellEnd"/>
      <w:r w:rsidRPr="00353644">
        <w:rPr>
          <w:lang w:val="en-NZ"/>
        </w:rPr>
        <w:t xml:space="preserve"> Charitable Trust Inc</w:t>
      </w:r>
    </w:p>
    <w:p w14:paraId="10A5953A" w14:textId="66110793" w:rsidR="00CC6237" w:rsidRPr="00962011" w:rsidRDefault="00CC6237" w:rsidP="007B73FA">
      <w:pPr>
        <w:pStyle w:val="Heading3"/>
        <w:rPr>
          <w:lang w:val="en-NZ"/>
        </w:rPr>
      </w:pPr>
      <w:r w:rsidRPr="00962011">
        <w:rPr>
          <w:lang w:val="en-NZ"/>
        </w:rPr>
        <w:t>Donations received</w:t>
      </w:r>
    </w:p>
    <w:p w14:paraId="365C6DAA" w14:textId="43AE16D3" w:rsidR="00CC6237" w:rsidRPr="00962011" w:rsidRDefault="00CC6237" w:rsidP="00CC6237">
      <w:pPr>
        <w:rPr>
          <w:b/>
          <w:bCs/>
          <w:lang w:val="en-NZ"/>
        </w:rPr>
      </w:pPr>
      <w:r w:rsidRPr="00962011">
        <w:rPr>
          <w:lang w:val="en-NZ"/>
        </w:rPr>
        <w:t xml:space="preserve">Last year: </w:t>
      </w:r>
      <w:r w:rsidR="00D87FF3">
        <w:rPr>
          <w:b/>
          <w:bCs/>
          <w:lang w:val="en-NZ"/>
        </w:rPr>
        <w:t>745</w:t>
      </w:r>
    </w:p>
    <w:p w14:paraId="1B6D3AB9" w14:textId="437DC9A3" w:rsidR="00CC6237" w:rsidRPr="00962011" w:rsidRDefault="00CC6237" w:rsidP="00CC6237">
      <w:pPr>
        <w:rPr>
          <w:lang w:val="en-NZ"/>
        </w:rPr>
      </w:pPr>
      <w:r w:rsidRPr="00962011">
        <w:rPr>
          <w:lang w:val="en-NZ"/>
        </w:rPr>
        <w:t xml:space="preserve">This year: </w:t>
      </w:r>
      <w:r w:rsidRPr="00962011">
        <w:rPr>
          <w:b/>
          <w:bCs/>
          <w:lang w:val="en-NZ"/>
        </w:rPr>
        <w:t>7</w:t>
      </w:r>
      <w:r w:rsidR="00D87FF3">
        <w:rPr>
          <w:b/>
          <w:bCs/>
          <w:lang w:val="en-NZ"/>
        </w:rPr>
        <w:t>22</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24CC3F80" w:rsidR="0080671C" w:rsidRDefault="00C206F7" w:rsidP="00F44A4F">
      <w:pPr>
        <w:keepNext/>
        <w:contextualSpacing/>
        <w:rPr>
          <w:b/>
          <w:bCs/>
          <w:lang w:val="en-NZ"/>
        </w:rPr>
      </w:pPr>
      <w:r w:rsidRPr="00C206F7">
        <w:rPr>
          <w:b/>
          <w:bCs/>
          <w:lang w:val="en-NZ"/>
        </w:rPr>
        <w:t>Waikato</w:t>
      </w:r>
    </w:p>
    <w:p w14:paraId="38B745B3" w14:textId="0D2D6638" w:rsidR="00CC6237" w:rsidRPr="00962011" w:rsidRDefault="00A556EC" w:rsidP="00634B06">
      <w:pPr>
        <w:contextualSpacing/>
        <w:rPr>
          <w:lang w:val="en-NZ"/>
        </w:rPr>
      </w:pPr>
      <w:r w:rsidRPr="00962011">
        <w:rPr>
          <w:lang w:val="en-NZ"/>
        </w:rPr>
        <w:t xml:space="preserve">Phone: </w:t>
      </w:r>
      <w:r w:rsidR="00C206F7" w:rsidRPr="00C206F7">
        <w:rPr>
          <w:lang w:val="en-NZ"/>
        </w:rPr>
        <w:t>07 853 9761 or 0800 227 2255</w:t>
      </w:r>
    </w:p>
    <w:p w14:paraId="69F9B1BA" w14:textId="2C01B142" w:rsidR="00CC6237" w:rsidRPr="00962011" w:rsidRDefault="00A556EC" w:rsidP="00634B06">
      <w:pPr>
        <w:contextualSpacing/>
        <w:rPr>
          <w:lang w:val="en-NZ"/>
        </w:rPr>
      </w:pPr>
      <w:r w:rsidRPr="00962011">
        <w:rPr>
          <w:lang w:val="en-NZ"/>
        </w:rPr>
        <w:t xml:space="preserve">Address: </w:t>
      </w:r>
      <w:r w:rsidR="00C206F7" w:rsidRPr="00C206F7">
        <w:rPr>
          <w:lang w:val="en-NZ"/>
        </w:rPr>
        <w:t xml:space="preserve">17 </w:t>
      </w:r>
      <w:proofErr w:type="spellStart"/>
      <w:r w:rsidR="00C206F7" w:rsidRPr="00C206F7">
        <w:rPr>
          <w:lang w:val="en-NZ"/>
        </w:rPr>
        <w:t>Claudelands</w:t>
      </w:r>
      <w:proofErr w:type="spellEnd"/>
      <w:r w:rsidR="00C206F7" w:rsidRPr="00C206F7">
        <w:rPr>
          <w:lang w:val="en-NZ"/>
        </w:rPr>
        <w:t xml:space="preserve"> Road, Hamilton 3216</w:t>
      </w:r>
    </w:p>
    <w:p w14:paraId="619EAEC7" w14:textId="51E12E41" w:rsidR="00CC6237" w:rsidRPr="00962011" w:rsidRDefault="00A556EC" w:rsidP="00634B06">
      <w:pPr>
        <w:contextualSpacing/>
        <w:rPr>
          <w:lang w:val="en-NZ"/>
        </w:rPr>
      </w:pPr>
      <w:r w:rsidRPr="00962011">
        <w:rPr>
          <w:lang w:val="en-NZ"/>
        </w:rPr>
        <w:t xml:space="preserve">Post: </w:t>
      </w:r>
      <w:r w:rsidR="00C206F7" w:rsidRPr="00C206F7">
        <w:rPr>
          <w:lang w:val="en-NZ"/>
        </w:rPr>
        <w:t>PO Box 272, Hamilton 3240</w:t>
      </w:r>
    </w:p>
    <w:p w14:paraId="5412A016" w14:textId="467EB44D" w:rsidR="00CC6237" w:rsidRPr="00C206F7" w:rsidRDefault="005402C3" w:rsidP="00634B06">
      <w:pPr>
        <w:contextualSpacing/>
        <w:rPr>
          <w:b/>
          <w:bCs/>
          <w:lang w:val="en-NZ"/>
        </w:rPr>
      </w:pPr>
      <w:r w:rsidRPr="00962011">
        <w:rPr>
          <w:lang w:val="en-NZ"/>
        </w:rPr>
        <w:t>Email</w:t>
      </w:r>
      <w:r w:rsidR="00A556EC" w:rsidRPr="00962011">
        <w:rPr>
          <w:lang w:val="en-NZ"/>
        </w:rPr>
        <w:t xml:space="preserve">: </w:t>
      </w:r>
      <w:hyperlink r:id="rId14" w:history="1">
        <w:r w:rsidR="00C206F7" w:rsidRPr="00C206F7">
          <w:rPr>
            <w:rStyle w:val="Hyperlink"/>
            <w:b/>
            <w:bCs/>
            <w:color w:val="auto"/>
            <w:u w:val="none"/>
            <w:lang w:val="en-NZ"/>
          </w:rPr>
          <w:t>Waikato.Admin@ccsDisabilityAction.org.nz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7A5AF46F" w:rsidR="00CC6237" w:rsidRPr="00962011" w:rsidRDefault="00CC6237" w:rsidP="00634B06">
      <w:pPr>
        <w:contextualSpacing/>
        <w:rPr>
          <w:lang w:val="en-NZ"/>
        </w:rPr>
      </w:pPr>
      <w:r w:rsidRPr="00962011">
        <w:rPr>
          <w:lang w:val="en-NZ"/>
        </w:rPr>
        <w:t xml:space="preserve">Registered Charity Number: </w:t>
      </w:r>
      <w:r w:rsidR="00C206F7" w:rsidRPr="00C206F7">
        <w:rPr>
          <w:lang w:val="en-NZ"/>
        </w:rPr>
        <w:t>CC25395</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F558" w14:textId="77777777" w:rsidR="006757A6" w:rsidRDefault="0067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0E88570C" w:rsidR="00F372F5" w:rsidRDefault="006757A6">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680A" w14:textId="77777777" w:rsidR="006757A6" w:rsidRDefault="0067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14D4" w14:textId="77777777" w:rsidR="006757A6" w:rsidRDefault="0067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229" w14:textId="77777777" w:rsidR="006757A6" w:rsidRDefault="00675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8FB1" w14:textId="77777777" w:rsidR="006757A6" w:rsidRDefault="00675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267244">
    <w:abstractNumId w:val="7"/>
  </w:num>
  <w:num w:numId="2" w16cid:durableId="2128431286">
    <w:abstractNumId w:val="12"/>
  </w:num>
  <w:num w:numId="3" w16cid:durableId="1781408295">
    <w:abstractNumId w:val="6"/>
  </w:num>
  <w:num w:numId="4" w16cid:durableId="817234291">
    <w:abstractNumId w:val="1"/>
  </w:num>
  <w:num w:numId="5" w16cid:durableId="1420131801">
    <w:abstractNumId w:val="2"/>
  </w:num>
  <w:num w:numId="6" w16cid:durableId="554699547">
    <w:abstractNumId w:val="0"/>
  </w:num>
  <w:num w:numId="7" w16cid:durableId="1993825495">
    <w:abstractNumId w:val="10"/>
  </w:num>
  <w:num w:numId="8" w16cid:durableId="2088574363">
    <w:abstractNumId w:val="3"/>
  </w:num>
  <w:num w:numId="9" w16cid:durableId="450167182">
    <w:abstractNumId w:val="11"/>
  </w:num>
  <w:num w:numId="10" w16cid:durableId="1122264789">
    <w:abstractNumId w:val="8"/>
  </w:num>
  <w:num w:numId="11" w16cid:durableId="1258560435">
    <w:abstractNumId w:val="9"/>
  </w:num>
  <w:num w:numId="12" w16cid:durableId="912659656">
    <w:abstractNumId w:val="4"/>
  </w:num>
  <w:num w:numId="13" w16cid:durableId="34888938">
    <w:abstractNumId w:val="13"/>
  </w:num>
  <w:num w:numId="14" w16cid:durableId="2132019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36914"/>
    <w:rsid w:val="00047B1D"/>
    <w:rsid w:val="00053624"/>
    <w:rsid w:val="00070095"/>
    <w:rsid w:val="00070247"/>
    <w:rsid w:val="000816D1"/>
    <w:rsid w:val="000A6B1A"/>
    <w:rsid w:val="000C60FE"/>
    <w:rsid w:val="000F1264"/>
    <w:rsid w:val="0011479F"/>
    <w:rsid w:val="001208FE"/>
    <w:rsid w:val="00135161"/>
    <w:rsid w:val="0014471C"/>
    <w:rsid w:val="00146CB7"/>
    <w:rsid w:val="00153292"/>
    <w:rsid w:val="00154516"/>
    <w:rsid w:val="00164353"/>
    <w:rsid w:val="00171301"/>
    <w:rsid w:val="00174C77"/>
    <w:rsid w:val="00180707"/>
    <w:rsid w:val="001877DC"/>
    <w:rsid w:val="001A1CFD"/>
    <w:rsid w:val="001D1BAD"/>
    <w:rsid w:val="001D5668"/>
    <w:rsid w:val="001E18E5"/>
    <w:rsid w:val="0021355E"/>
    <w:rsid w:val="00222703"/>
    <w:rsid w:val="00230654"/>
    <w:rsid w:val="00230FCC"/>
    <w:rsid w:val="002327B9"/>
    <w:rsid w:val="002414E1"/>
    <w:rsid w:val="002546BD"/>
    <w:rsid w:val="00254D9C"/>
    <w:rsid w:val="00260F86"/>
    <w:rsid w:val="00261E14"/>
    <w:rsid w:val="00282D18"/>
    <w:rsid w:val="002D6EAA"/>
    <w:rsid w:val="00321930"/>
    <w:rsid w:val="00353644"/>
    <w:rsid w:val="00367A0F"/>
    <w:rsid w:val="00387447"/>
    <w:rsid w:val="00390EE6"/>
    <w:rsid w:val="00393C9A"/>
    <w:rsid w:val="003A12D6"/>
    <w:rsid w:val="003A2110"/>
    <w:rsid w:val="003A3D88"/>
    <w:rsid w:val="003B43BC"/>
    <w:rsid w:val="003E2FC9"/>
    <w:rsid w:val="00444B73"/>
    <w:rsid w:val="00464389"/>
    <w:rsid w:val="004B107D"/>
    <w:rsid w:val="004B1666"/>
    <w:rsid w:val="004C0676"/>
    <w:rsid w:val="004C628A"/>
    <w:rsid w:val="004D1BBF"/>
    <w:rsid w:val="004E1C4D"/>
    <w:rsid w:val="005177AB"/>
    <w:rsid w:val="005402C3"/>
    <w:rsid w:val="00540384"/>
    <w:rsid w:val="00554924"/>
    <w:rsid w:val="005829F5"/>
    <w:rsid w:val="005B0A75"/>
    <w:rsid w:val="00602E4B"/>
    <w:rsid w:val="00606836"/>
    <w:rsid w:val="00621870"/>
    <w:rsid w:val="00630817"/>
    <w:rsid w:val="0063395E"/>
    <w:rsid w:val="00634B06"/>
    <w:rsid w:val="0063695B"/>
    <w:rsid w:val="00641D2E"/>
    <w:rsid w:val="0065344C"/>
    <w:rsid w:val="00662DE7"/>
    <w:rsid w:val="00665AA2"/>
    <w:rsid w:val="006756B8"/>
    <w:rsid w:val="006757A6"/>
    <w:rsid w:val="00692B9B"/>
    <w:rsid w:val="0069303C"/>
    <w:rsid w:val="006B0DF3"/>
    <w:rsid w:val="006B1E61"/>
    <w:rsid w:val="006C26C1"/>
    <w:rsid w:val="006D599F"/>
    <w:rsid w:val="006F3E70"/>
    <w:rsid w:val="007008AA"/>
    <w:rsid w:val="00701995"/>
    <w:rsid w:val="007227B4"/>
    <w:rsid w:val="00724EB7"/>
    <w:rsid w:val="00727CAF"/>
    <w:rsid w:val="00734AF2"/>
    <w:rsid w:val="00745906"/>
    <w:rsid w:val="00752EF8"/>
    <w:rsid w:val="007760C9"/>
    <w:rsid w:val="007760D7"/>
    <w:rsid w:val="0078556B"/>
    <w:rsid w:val="007970AF"/>
    <w:rsid w:val="007B73FA"/>
    <w:rsid w:val="007B744B"/>
    <w:rsid w:val="007C18EA"/>
    <w:rsid w:val="007C3383"/>
    <w:rsid w:val="007E7F9F"/>
    <w:rsid w:val="0080262E"/>
    <w:rsid w:val="0080671C"/>
    <w:rsid w:val="008109DF"/>
    <w:rsid w:val="00816CBF"/>
    <w:rsid w:val="00816DC0"/>
    <w:rsid w:val="00826C3C"/>
    <w:rsid w:val="008356FA"/>
    <w:rsid w:val="00864B42"/>
    <w:rsid w:val="0086732F"/>
    <w:rsid w:val="00900C04"/>
    <w:rsid w:val="00902710"/>
    <w:rsid w:val="009059DB"/>
    <w:rsid w:val="00932C85"/>
    <w:rsid w:val="009443C2"/>
    <w:rsid w:val="00946A2B"/>
    <w:rsid w:val="00962011"/>
    <w:rsid w:val="0096375D"/>
    <w:rsid w:val="009944C7"/>
    <w:rsid w:val="009D0E6F"/>
    <w:rsid w:val="009F29E7"/>
    <w:rsid w:val="009F7409"/>
    <w:rsid w:val="00A02690"/>
    <w:rsid w:val="00A43DEB"/>
    <w:rsid w:val="00A556EC"/>
    <w:rsid w:val="00A71A85"/>
    <w:rsid w:val="00A86D9D"/>
    <w:rsid w:val="00AB0D00"/>
    <w:rsid w:val="00AD0137"/>
    <w:rsid w:val="00AD3B5E"/>
    <w:rsid w:val="00AE6AC9"/>
    <w:rsid w:val="00AF5AF6"/>
    <w:rsid w:val="00AF5F55"/>
    <w:rsid w:val="00B00E21"/>
    <w:rsid w:val="00B015BF"/>
    <w:rsid w:val="00B05AF9"/>
    <w:rsid w:val="00B21D42"/>
    <w:rsid w:val="00B27190"/>
    <w:rsid w:val="00B35476"/>
    <w:rsid w:val="00B52D4E"/>
    <w:rsid w:val="00B55D5C"/>
    <w:rsid w:val="00B6060B"/>
    <w:rsid w:val="00B7342E"/>
    <w:rsid w:val="00B92821"/>
    <w:rsid w:val="00BC7FEB"/>
    <w:rsid w:val="00BD66EF"/>
    <w:rsid w:val="00C16F19"/>
    <w:rsid w:val="00C202A9"/>
    <w:rsid w:val="00C206F7"/>
    <w:rsid w:val="00C22BED"/>
    <w:rsid w:val="00C24EC2"/>
    <w:rsid w:val="00C340A3"/>
    <w:rsid w:val="00C5291B"/>
    <w:rsid w:val="00C71283"/>
    <w:rsid w:val="00C827A8"/>
    <w:rsid w:val="00C8389A"/>
    <w:rsid w:val="00C90D48"/>
    <w:rsid w:val="00C954E9"/>
    <w:rsid w:val="00C96A92"/>
    <w:rsid w:val="00CA04B3"/>
    <w:rsid w:val="00CA30D4"/>
    <w:rsid w:val="00CB6F63"/>
    <w:rsid w:val="00CC462D"/>
    <w:rsid w:val="00CC6237"/>
    <w:rsid w:val="00CF38A4"/>
    <w:rsid w:val="00D0482F"/>
    <w:rsid w:val="00D302E8"/>
    <w:rsid w:val="00D3425C"/>
    <w:rsid w:val="00D534EA"/>
    <w:rsid w:val="00D546BA"/>
    <w:rsid w:val="00D55804"/>
    <w:rsid w:val="00D57C45"/>
    <w:rsid w:val="00D61CB2"/>
    <w:rsid w:val="00D6335B"/>
    <w:rsid w:val="00D637BF"/>
    <w:rsid w:val="00D66EA2"/>
    <w:rsid w:val="00D77E6D"/>
    <w:rsid w:val="00D87FF3"/>
    <w:rsid w:val="00DA102F"/>
    <w:rsid w:val="00E12D73"/>
    <w:rsid w:val="00E23027"/>
    <w:rsid w:val="00E7391A"/>
    <w:rsid w:val="00E80E06"/>
    <w:rsid w:val="00E94694"/>
    <w:rsid w:val="00EA5672"/>
    <w:rsid w:val="00EB6DD3"/>
    <w:rsid w:val="00EC0647"/>
    <w:rsid w:val="00EE43CE"/>
    <w:rsid w:val="00EE6DCA"/>
    <w:rsid w:val="00EE76A5"/>
    <w:rsid w:val="00F3072C"/>
    <w:rsid w:val="00F37232"/>
    <w:rsid w:val="00F372F5"/>
    <w:rsid w:val="00F446F0"/>
    <w:rsid w:val="00F44A4F"/>
    <w:rsid w:val="00F6482A"/>
    <w:rsid w:val="00F762B0"/>
    <w:rsid w:val="00FB2041"/>
    <w:rsid w:val="00FD7EF9"/>
    <w:rsid w:val="00FE6BD1"/>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aikato.Admin@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2458-7A82-4217-9617-FC03C664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CCS DA Annual Report Waikato 2023</vt:lpstr>
    </vt:vector>
  </TitlesOfParts>
  <Company>Vision Australia</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Waikato 2023</dc:title>
  <dc:subject/>
  <dc:creator>Vision Auatralia</dc:creator>
  <cp:keywords/>
  <dc:description/>
  <cp:lastModifiedBy>Debra Murphy</cp:lastModifiedBy>
  <cp:revision>35</cp:revision>
  <dcterms:created xsi:type="dcterms:W3CDTF">2024-01-24T01:05:00Z</dcterms:created>
  <dcterms:modified xsi:type="dcterms:W3CDTF">2024-01-25T01:58:00Z</dcterms:modified>
</cp:coreProperties>
</file>